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E0E44" w14:textId="77777777" w:rsidR="00C53685" w:rsidRPr="00C53685" w:rsidRDefault="00C53685" w:rsidP="00C53685">
      <w:pPr>
        <w:jc w:val="center"/>
        <w:rPr>
          <w:b/>
          <w:sz w:val="28"/>
          <w:szCs w:val="28"/>
        </w:rPr>
      </w:pPr>
      <w:r w:rsidRPr="00C53685">
        <w:rPr>
          <w:b/>
          <w:sz w:val="28"/>
          <w:szCs w:val="28"/>
        </w:rPr>
        <w:t>National Clerkship Curriculum</w:t>
      </w:r>
    </w:p>
    <w:p w14:paraId="76F301D3" w14:textId="77777777" w:rsidR="00C53685" w:rsidRDefault="00C53685" w:rsidP="00BE4606">
      <w:pPr>
        <w:rPr>
          <w:b/>
        </w:rPr>
      </w:pPr>
    </w:p>
    <w:p w14:paraId="45D3601C" w14:textId="6399F449" w:rsidR="00BE4606" w:rsidRPr="00C53685" w:rsidRDefault="00BE4606" w:rsidP="00BE4606">
      <w:pPr>
        <w:rPr>
          <w:b/>
        </w:rPr>
      </w:pPr>
      <w:bookmarkStart w:id="0" w:name="_GoBack"/>
      <w:r w:rsidRPr="00C53685">
        <w:rPr>
          <w:b/>
        </w:rPr>
        <w:t>Immunization Concerns / Shared Decision Making</w:t>
      </w:r>
    </w:p>
    <w:p w14:paraId="591AE770" w14:textId="77777777" w:rsidR="00BE4606" w:rsidRPr="00BE4606" w:rsidRDefault="00BE4606" w:rsidP="00BE4606">
      <w:pPr>
        <w:rPr>
          <w:sz w:val="20"/>
          <w:szCs w:val="20"/>
        </w:rPr>
      </w:pPr>
    </w:p>
    <w:bookmarkEnd w:id="0"/>
    <w:p w14:paraId="7D601349" w14:textId="243D7F72" w:rsidR="00BE4606" w:rsidRPr="00C53685" w:rsidRDefault="00BE4606" w:rsidP="00BE4606">
      <w:pPr>
        <w:rPr>
          <w:b/>
          <w:sz w:val="20"/>
          <w:szCs w:val="20"/>
        </w:rPr>
      </w:pPr>
      <w:r w:rsidRPr="00BE4606">
        <w:rPr>
          <w:b/>
          <w:sz w:val="20"/>
          <w:szCs w:val="20"/>
        </w:rPr>
        <w:t>Abstract:</w:t>
      </w:r>
    </w:p>
    <w:p w14:paraId="69D0E0A3" w14:textId="77777777" w:rsidR="00BE4606" w:rsidRPr="00BE4606" w:rsidRDefault="00BE4606" w:rsidP="00BE4606">
      <w:pPr>
        <w:rPr>
          <w:sz w:val="20"/>
          <w:szCs w:val="20"/>
        </w:rPr>
      </w:pPr>
      <w:r w:rsidRPr="00BE4606">
        <w:rPr>
          <w:sz w:val="20"/>
          <w:szCs w:val="20"/>
        </w:rPr>
        <w:t>Taught at Tufts University School of Medicine, Boston MA, this session on pediatric immunizations occurs during the mandatory 6-week 3rd year core Family Medicine clerkship.</w:t>
      </w:r>
      <w:r w:rsidRPr="00BE4606">
        <w:rPr>
          <w:sz w:val="20"/>
          <w:szCs w:val="20"/>
        </w:rPr>
        <w:br/>
      </w:r>
      <w:r w:rsidRPr="00BE4606">
        <w:rPr>
          <w:sz w:val="20"/>
          <w:szCs w:val="20"/>
        </w:rPr>
        <w:br/>
        <w:t>The session teaches advanced communication and shared decision making about vaccination of a baby. The case (Appendix A) describes a mother who gave birth with a midwife via an unmedicated vaginal delivery, breastfeeds, gives her family organic food, and embraces a "natural" lifestyle. The mother has brought her baby in for a well child check and has concerns and hesitations about immunizing her child.</w:t>
      </w:r>
      <w:r w:rsidRPr="00BE4606">
        <w:rPr>
          <w:sz w:val="20"/>
          <w:szCs w:val="20"/>
        </w:rPr>
        <w:br/>
      </w:r>
      <w:r w:rsidRPr="00BE4606">
        <w:rPr>
          <w:sz w:val="20"/>
          <w:szCs w:val="20"/>
        </w:rPr>
        <w:br/>
        <w:t>A standardized patient (SP) and his/her baby are physically present in the classroom. Via a fishbowl technique, in which one student at a time interviews and counsels the parent while the other students actively observe, a few students experience the “hot seat” (direct interview with the SP) for the benefit of the large group. The faculty facilitator then role models approaches such as shared decision making, empathic listening, and humble patient education.</w:t>
      </w:r>
      <w:r w:rsidRPr="00BE4606">
        <w:rPr>
          <w:sz w:val="20"/>
          <w:szCs w:val="20"/>
        </w:rPr>
        <w:br/>
      </w:r>
      <w:r w:rsidRPr="00BE4606">
        <w:rPr>
          <w:sz w:val="20"/>
          <w:szCs w:val="20"/>
        </w:rPr>
        <w:br/>
        <w:t>Learning outcomes of the session include anonymous quantitative student ratings and qualitative student feedback about the session. Over the past year, the average numeric student rating has been 3.87 out of 4.00, a very high score. Descriptive data have also been overwhelmingly positive; themes include appreciation of the opportunity to practice advanced communication skills and gaining more knowledge on the CDC vaccine schedule and its components.</w:t>
      </w:r>
    </w:p>
    <w:p w14:paraId="0D46B6A4" w14:textId="77777777" w:rsidR="00BE4606" w:rsidRPr="00BE4606" w:rsidRDefault="00BE4606" w:rsidP="00BE4606">
      <w:pPr>
        <w:rPr>
          <w:sz w:val="20"/>
          <w:szCs w:val="20"/>
        </w:rPr>
      </w:pPr>
    </w:p>
    <w:p w14:paraId="6CD97ADB" w14:textId="77777777" w:rsidR="00BE4606" w:rsidRPr="00C53685" w:rsidRDefault="00BE4606" w:rsidP="00BE4606">
      <w:pPr>
        <w:rPr>
          <w:rFonts w:eastAsia="Times New Roman" w:cs="Times New Roman"/>
          <w:color w:val="000000" w:themeColor="text1"/>
          <w:sz w:val="20"/>
          <w:szCs w:val="20"/>
        </w:rPr>
      </w:pPr>
      <w:r w:rsidRPr="00C53685">
        <w:rPr>
          <w:rFonts w:eastAsia="Times New Roman" w:cs="Arial"/>
          <w:b/>
          <w:bCs/>
          <w:color w:val="000000" w:themeColor="text1"/>
          <w:sz w:val="20"/>
          <w:szCs w:val="20"/>
          <w:shd w:val="clear" w:color="auto" w:fill="FFFFFF"/>
        </w:rPr>
        <w:t>Curricular Focus</w:t>
      </w:r>
    </w:p>
    <w:p w14:paraId="6E4B161F" w14:textId="77777777" w:rsidR="00BE4606" w:rsidRPr="00BE4606" w:rsidRDefault="00BE4606" w:rsidP="00BE4606">
      <w:pPr>
        <w:pStyle w:val="ListParagraph"/>
        <w:numPr>
          <w:ilvl w:val="0"/>
          <w:numId w:val="2"/>
        </w:numPr>
        <w:rPr>
          <w:rFonts w:eastAsia="Times New Roman" w:cs="Times New Roman"/>
          <w:sz w:val="20"/>
          <w:szCs w:val="20"/>
        </w:rPr>
      </w:pPr>
      <w:r w:rsidRPr="00BE4606">
        <w:rPr>
          <w:rFonts w:eastAsia="Times New Roman" w:cs="Arial"/>
          <w:bCs/>
          <w:color w:val="606060"/>
          <w:sz w:val="20"/>
          <w:szCs w:val="20"/>
        </w:rPr>
        <w:t>Principles of Family Medicine</w:t>
      </w:r>
    </w:p>
    <w:p w14:paraId="519C9920" w14:textId="77777777" w:rsidR="00BE4606" w:rsidRPr="00BE4606" w:rsidRDefault="00BE4606" w:rsidP="00BE4606">
      <w:pPr>
        <w:pStyle w:val="ListParagraph"/>
        <w:numPr>
          <w:ilvl w:val="0"/>
          <w:numId w:val="2"/>
        </w:numPr>
        <w:rPr>
          <w:rFonts w:eastAsia="Times New Roman" w:cs="Times New Roman"/>
          <w:sz w:val="20"/>
          <w:szCs w:val="20"/>
        </w:rPr>
      </w:pPr>
      <w:r w:rsidRPr="00BE4606">
        <w:rPr>
          <w:rFonts w:eastAsia="Times New Roman" w:cs="Arial"/>
          <w:bCs/>
          <w:color w:val="606060"/>
          <w:sz w:val="20"/>
          <w:szCs w:val="20"/>
        </w:rPr>
        <w:t>Health Promotion &amp; Disease Prevention</w:t>
      </w:r>
    </w:p>
    <w:p w14:paraId="7FAB2FD2" w14:textId="77777777" w:rsidR="00BE4606" w:rsidRPr="00BE4606" w:rsidRDefault="00BE4606" w:rsidP="00BE4606">
      <w:pPr>
        <w:pStyle w:val="ListParagraph"/>
        <w:numPr>
          <w:ilvl w:val="0"/>
          <w:numId w:val="2"/>
        </w:numPr>
        <w:rPr>
          <w:rFonts w:eastAsia="Times New Roman" w:cs="Times New Roman"/>
          <w:sz w:val="20"/>
          <w:szCs w:val="20"/>
        </w:rPr>
      </w:pPr>
      <w:r w:rsidRPr="00BE4606">
        <w:rPr>
          <w:rFonts w:eastAsia="Times New Roman" w:cs="Arial"/>
          <w:bCs/>
          <w:color w:val="606060"/>
          <w:sz w:val="20"/>
          <w:szCs w:val="20"/>
        </w:rPr>
        <w:t>Role of Family Medicine</w:t>
      </w:r>
    </w:p>
    <w:p w14:paraId="65568B44" w14:textId="77777777" w:rsidR="00BE4606" w:rsidRPr="00BE4606" w:rsidRDefault="00BE4606" w:rsidP="00BE4606">
      <w:pPr>
        <w:rPr>
          <w:rFonts w:eastAsia="Times New Roman" w:cs="Times New Roman"/>
          <w:sz w:val="20"/>
          <w:szCs w:val="20"/>
        </w:rPr>
      </w:pPr>
    </w:p>
    <w:p w14:paraId="442992D5" w14:textId="77777777" w:rsidR="00BE4606" w:rsidRPr="00C53685" w:rsidRDefault="00BE4606" w:rsidP="00BE4606">
      <w:pPr>
        <w:rPr>
          <w:rFonts w:eastAsia="Times New Roman" w:cs="Times New Roman"/>
          <w:color w:val="000000" w:themeColor="text1"/>
          <w:sz w:val="20"/>
          <w:szCs w:val="20"/>
        </w:rPr>
      </w:pPr>
      <w:r w:rsidRPr="00C53685">
        <w:rPr>
          <w:rFonts w:eastAsia="Times New Roman" w:cs="Arial"/>
          <w:b/>
          <w:bCs/>
          <w:color w:val="000000" w:themeColor="text1"/>
          <w:sz w:val="20"/>
          <w:szCs w:val="20"/>
          <w:shd w:val="clear" w:color="auto" w:fill="FFFFFF"/>
        </w:rPr>
        <w:t>Disclosure of Financial Relationships</w:t>
      </w:r>
    </w:p>
    <w:p w14:paraId="09F2DB23" w14:textId="77777777" w:rsidR="00BE4606" w:rsidRDefault="00BE4606" w:rsidP="00BE4606">
      <w:pPr>
        <w:rPr>
          <w:rFonts w:eastAsia="Times New Roman" w:cs="Times New Roman"/>
          <w:sz w:val="20"/>
          <w:szCs w:val="20"/>
        </w:rPr>
      </w:pPr>
      <w:r w:rsidRPr="00BE4606">
        <w:rPr>
          <w:rFonts w:eastAsia="Times New Roman" w:cs="Times New Roman"/>
          <w:sz w:val="20"/>
          <w:szCs w:val="20"/>
        </w:rPr>
        <w:t>None</w:t>
      </w:r>
    </w:p>
    <w:p w14:paraId="44CD7474" w14:textId="77777777" w:rsidR="00BE4606" w:rsidRDefault="00BE4606" w:rsidP="00BE4606">
      <w:pPr>
        <w:rPr>
          <w:rFonts w:eastAsia="Times New Roman" w:cs="Times New Roman"/>
          <w:sz w:val="20"/>
          <w:szCs w:val="20"/>
        </w:rPr>
      </w:pPr>
    </w:p>
    <w:p w14:paraId="51D4C716" w14:textId="664EF39B" w:rsidR="00BE4606" w:rsidRPr="00C53685" w:rsidRDefault="00BE4606" w:rsidP="00BE4606">
      <w:pPr>
        <w:rPr>
          <w:rFonts w:eastAsia="Times New Roman" w:cs="Times New Roman"/>
          <w:color w:val="000000" w:themeColor="text1"/>
          <w:sz w:val="20"/>
          <w:szCs w:val="20"/>
        </w:rPr>
      </w:pPr>
      <w:r w:rsidRPr="00C53685">
        <w:rPr>
          <w:rFonts w:eastAsia="Times New Roman" w:cs="Arial"/>
          <w:b/>
          <w:bCs/>
          <w:color w:val="000000" w:themeColor="text1"/>
          <w:sz w:val="20"/>
          <w:szCs w:val="20"/>
          <w:shd w:val="clear" w:color="auto" w:fill="FFFFFF"/>
        </w:rPr>
        <w:t>Clerkship Structure</w:t>
      </w:r>
    </w:p>
    <w:p w14:paraId="6AE679F8" w14:textId="77777777" w:rsidR="00BE4606" w:rsidRDefault="00BE4606" w:rsidP="00BE4606">
      <w:pPr>
        <w:rPr>
          <w:sz w:val="20"/>
          <w:szCs w:val="20"/>
        </w:rPr>
      </w:pPr>
      <w:r w:rsidRPr="00BE4606">
        <w:rPr>
          <w:sz w:val="20"/>
          <w:szCs w:val="20"/>
        </w:rPr>
        <w:t>The mandatory Family Medicine clerkship is 6 weeks long during the 3rd year of medical school. About 200 students complete the clerkship annually with 20-32 per 6-week block (repeated 8 times a year). Each student is assigned to a clinical site from a bank of 60+ options, ranging from small private practices to large community health centers.</w:t>
      </w:r>
    </w:p>
    <w:p w14:paraId="26E21D46" w14:textId="77777777" w:rsidR="00BE4606" w:rsidRDefault="00BE4606" w:rsidP="00BE4606">
      <w:pPr>
        <w:rPr>
          <w:sz w:val="20"/>
          <w:szCs w:val="20"/>
        </w:rPr>
      </w:pPr>
    </w:p>
    <w:p w14:paraId="43A2C29C" w14:textId="7DE46E2D" w:rsidR="00BE4606" w:rsidRPr="00C53685" w:rsidRDefault="00BE4606" w:rsidP="00BE4606">
      <w:pPr>
        <w:rPr>
          <w:rFonts w:ascii="Times New Roman" w:eastAsia="Times New Roman" w:hAnsi="Times New Roman" w:cs="Times New Roman"/>
          <w:color w:val="000000" w:themeColor="text1"/>
          <w:sz w:val="20"/>
          <w:szCs w:val="20"/>
        </w:rPr>
      </w:pPr>
      <w:r w:rsidRPr="00C53685">
        <w:rPr>
          <w:rFonts w:ascii="Arial" w:eastAsia="Times New Roman" w:hAnsi="Arial" w:cs="Arial"/>
          <w:b/>
          <w:bCs/>
          <w:color w:val="000000" w:themeColor="text1"/>
          <w:sz w:val="20"/>
          <w:szCs w:val="20"/>
          <w:shd w:val="clear" w:color="auto" w:fill="FFFFFF"/>
        </w:rPr>
        <w:t>National Clerkship Curriculum Objectives Addressed</w:t>
      </w:r>
    </w:p>
    <w:p w14:paraId="5610B8C8" w14:textId="77777777" w:rsidR="00BE4606" w:rsidRDefault="00BE4606" w:rsidP="00BE4606">
      <w:pPr>
        <w:pStyle w:val="ListParagraph"/>
        <w:numPr>
          <w:ilvl w:val="0"/>
          <w:numId w:val="3"/>
        </w:numPr>
        <w:rPr>
          <w:sz w:val="20"/>
          <w:szCs w:val="20"/>
        </w:rPr>
      </w:pPr>
      <w:r w:rsidRPr="00BE4606">
        <w:rPr>
          <w:sz w:val="20"/>
          <w:szCs w:val="20"/>
        </w:rPr>
        <w:t>Teach an approach to conducting a wellness visit for a</w:t>
      </w:r>
      <w:r>
        <w:rPr>
          <w:sz w:val="20"/>
          <w:szCs w:val="20"/>
        </w:rPr>
        <w:t xml:space="preserve"> patient of any age or gender.</w:t>
      </w:r>
    </w:p>
    <w:p w14:paraId="5A8DC6E4" w14:textId="77777777" w:rsidR="00BE4606" w:rsidRDefault="00BE4606" w:rsidP="00BE4606">
      <w:pPr>
        <w:pStyle w:val="ListParagraph"/>
        <w:numPr>
          <w:ilvl w:val="0"/>
          <w:numId w:val="3"/>
        </w:numPr>
        <w:rPr>
          <w:sz w:val="20"/>
          <w:szCs w:val="20"/>
        </w:rPr>
      </w:pPr>
      <w:r w:rsidRPr="00BE4606">
        <w:rPr>
          <w:sz w:val="20"/>
          <w:szCs w:val="20"/>
        </w:rPr>
        <w:t xml:space="preserve">Model the </w:t>
      </w:r>
      <w:r>
        <w:rPr>
          <w:sz w:val="20"/>
          <w:szCs w:val="20"/>
        </w:rPr>
        <w:t>principles of family medicine.</w:t>
      </w:r>
    </w:p>
    <w:p w14:paraId="0C140ACC" w14:textId="77777777" w:rsidR="00BE4606" w:rsidRPr="00BE4606" w:rsidRDefault="00BE4606" w:rsidP="00BE4606">
      <w:pPr>
        <w:pStyle w:val="ListParagraph"/>
        <w:numPr>
          <w:ilvl w:val="0"/>
          <w:numId w:val="3"/>
        </w:numPr>
        <w:rPr>
          <w:sz w:val="20"/>
          <w:szCs w:val="20"/>
        </w:rPr>
      </w:pPr>
      <w:r w:rsidRPr="00BE4606">
        <w:rPr>
          <w:sz w:val="20"/>
          <w:szCs w:val="20"/>
        </w:rPr>
        <w:t>Provide instruction in historical assessment, communication, physical examination, and clinical reasoning skills.</w:t>
      </w:r>
    </w:p>
    <w:p w14:paraId="6EA23BF0" w14:textId="77777777" w:rsidR="00C53685" w:rsidRDefault="00C53685" w:rsidP="00BE4606">
      <w:pPr>
        <w:rPr>
          <w:b/>
          <w:sz w:val="20"/>
          <w:szCs w:val="20"/>
        </w:rPr>
      </w:pPr>
    </w:p>
    <w:p w14:paraId="5514724E" w14:textId="60E246D8" w:rsidR="00BE4606" w:rsidRPr="00C53685" w:rsidRDefault="00BE4606" w:rsidP="00BE4606">
      <w:pPr>
        <w:rPr>
          <w:b/>
          <w:sz w:val="20"/>
          <w:szCs w:val="20"/>
        </w:rPr>
      </w:pPr>
      <w:r w:rsidRPr="00BE4606">
        <w:rPr>
          <w:b/>
          <w:sz w:val="20"/>
          <w:szCs w:val="20"/>
        </w:rPr>
        <w:t xml:space="preserve">Association of American Medical Colleges </w:t>
      </w:r>
      <w:proofErr w:type="spellStart"/>
      <w:r w:rsidRPr="00BE4606">
        <w:rPr>
          <w:b/>
          <w:sz w:val="20"/>
          <w:szCs w:val="20"/>
        </w:rPr>
        <w:t>Entrustable</w:t>
      </w:r>
      <w:proofErr w:type="spellEnd"/>
      <w:r w:rsidRPr="00BE4606">
        <w:rPr>
          <w:b/>
          <w:sz w:val="20"/>
          <w:szCs w:val="20"/>
        </w:rPr>
        <w:t xml:space="preserve"> Professional Activities Addressed</w:t>
      </w:r>
    </w:p>
    <w:p w14:paraId="0C71FDFE" w14:textId="77777777" w:rsidR="00BE4606" w:rsidRPr="00BE4606" w:rsidRDefault="00BE4606" w:rsidP="00BE4606">
      <w:pPr>
        <w:pStyle w:val="ListParagraph"/>
        <w:numPr>
          <w:ilvl w:val="0"/>
          <w:numId w:val="4"/>
        </w:numPr>
        <w:rPr>
          <w:rFonts w:eastAsia="Times New Roman" w:cs="Times New Roman"/>
          <w:sz w:val="20"/>
          <w:szCs w:val="20"/>
        </w:rPr>
      </w:pPr>
      <w:r w:rsidRPr="00BE4606">
        <w:rPr>
          <w:rFonts w:eastAsia="Times New Roman" w:cs="Arial"/>
          <w:color w:val="606060"/>
          <w:sz w:val="20"/>
          <w:szCs w:val="20"/>
          <w:shd w:val="clear" w:color="auto" w:fill="FFFFFF"/>
        </w:rPr>
        <w:t>EPA 1: Gather a history and perform a physical examination</w:t>
      </w:r>
    </w:p>
    <w:p w14:paraId="0C29C315" w14:textId="77777777" w:rsidR="00BE4606" w:rsidRPr="00BE4606" w:rsidRDefault="00BE4606" w:rsidP="00BE4606">
      <w:pPr>
        <w:pStyle w:val="ListParagraph"/>
        <w:numPr>
          <w:ilvl w:val="0"/>
          <w:numId w:val="4"/>
        </w:numPr>
        <w:rPr>
          <w:rFonts w:eastAsia="Times New Roman" w:cs="Times New Roman"/>
          <w:sz w:val="20"/>
          <w:szCs w:val="20"/>
        </w:rPr>
      </w:pPr>
      <w:r w:rsidRPr="00BE4606">
        <w:rPr>
          <w:rFonts w:eastAsia="Times New Roman" w:cs="Arial"/>
          <w:color w:val="606060"/>
          <w:sz w:val="20"/>
          <w:szCs w:val="20"/>
          <w:shd w:val="clear" w:color="auto" w:fill="FFFFFF"/>
        </w:rPr>
        <w:t>EPA 4: Enter and discuss orders and prescriptions</w:t>
      </w:r>
    </w:p>
    <w:p w14:paraId="392DACE2" w14:textId="77777777" w:rsidR="00BE4606" w:rsidRPr="00BE4606" w:rsidRDefault="00BE4606" w:rsidP="00BE4606">
      <w:pPr>
        <w:pStyle w:val="ListParagraph"/>
        <w:numPr>
          <w:ilvl w:val="0"/>
          <w:numId w:val="4"/>
        </w:numPr>
        <w:rPr>
          <w:rFonts w:eastAsia="Times New Roman" w:cs="Times New Roman"/>
          <w:sz w:val="20"/>
          <w:szCs w:val="20"/>
        </w:rPr>
      </w:pPr>
      <w:r w:rsidRPr="00BE4606">
        <w:rPr>
          <w:rFonts w:eastAsia="Times New Roman" w:cs="Arial"/>
          <w:color w:val="606060"/>
          <w:sz w:val="20"/>
          <w:szCs w:val="20"/>
          <w:shd w:val="clear" w:color="auto" w:fill="FFFFFF"/>
        </w:rPr>
        <w:t>EPA 11: Obtain informed consent for tests and/or procedures</w:t>
      </w:r>
    </w:p>
    <w:p w14:paraId="284E330B" w14:textId="77777777" w:rsidR="00BE4606" w:rsidRDefault="00BE4606" w:rsidP="00BE4606">
      <w:pPr>
        <w:rPr>
          <w:rFonts w:eastAsia="Times New Roman" w:cs="Times New Roman"/>
          <w:sz w:val="20"/>
          <w:szCs w:val="20"/>
        </w:rPr>
      </w:pPr>
    </w:p>
    <w:p w14:paraId="5B08F7C6" w14:textId="77777777" w:rsidR="00BE4606" w:rsidRPr="00C53685" w:rsidRDefault="00BE4606" w:rsidP="00BE4606">
      <w:pPr>
        <w:rPr>
          <w:rFonts w:ascii="Times New Roman" w:eastAsia="Times New Roman" w:hAnsi="Times New Roman" w:cs="Times New Roman"/>
          <w:color w:val="000000" w:themeColor="text1"/>
          <w:sz w:val="20"/>
          <w:szCs w:val="20"/>
        </w:rPr>
      </w:pPr>
      <w:r w:rsidRPr="00C53685">
        <w:rPr>
          <w:rFonts w:ascii="Arial" w:eastAsia="Times New Roman" w:hAnsi="Arial" w:cs="Arial"/>
          <w:b/>
          <w:bCs/>
          <w:color w:val="000000" w:themeColor="text1"/>
          <w:sz w:val="20"/>
          <w:szCs w:val="20"/>
          <w:shd w:val="clear" w:color="auto" w:fill="FFFFFF"/>
        </w:rPr>
        <w:t>Program Content and Educational Methods</w:t>
      </w:r>
    </w:p>
    <w:p w14:paraId="2C57C4E0" w14:textId="77777777" w:rsidR="00E50BDF" w:rsidRDefault="00E50BDF" w:rsidP="00BE4606">
      <w:pPr>
        <w:spacing w:before="75" w:after="75" w:line="300" w:lineRule="atLeast"/>
        <w:rPr>
          <w:rFonts w:ascii="Arial" w:hAnsi="Arial" w:cs="Arial"/>
          <w:color w:val="606060"/>
          <w:sz w:val="21"/>
          <w:szCs w:val="21"/>
        </w:rPr>
      </w:pPr>
      <w:r w:rsidRPr="00BE4606">
        <w:rPr>
          <w:rFonts w:cs="Arial"/>
          <w:color w:val="606060"/>
          <w:sz w:val="20"/>
          <w:szCs w:val="20"/>
        </w:rPr>
        <w:t>On the 2nd didactic day of this 6-week clerkship, the students gather in a classroom with chairs arranged in a U shape. A patient and her baby (&lt;2 years old) sit in the center across from another chair. The child plays happily and snacks on fruit.</w:t>
      </w:r>
      <w:r w:rsidRPr="00BE4606">
        <w:rPr>
          <w:rFonts w:cs="Arial"/>
          <w:color w:val="606060"/>
          <w:sz w:val="20"/>
          <w:szCs w:val="20"/>
        </w:rPr>
        <w:br/>
      </w:r>
      <w:r w:rsidRPr="00BE4606">
        <w:rPr>
          <w:rFonts w:cs="Arial"/>
          <w:color w:val="606060"/>
          <w:sz w:val="20"/>
          <w:szCs w:val="20"/>
        </w:rPr>
        <w:lastRenderedPageBreak/>
        <w:br/>
        <w:t>The case (Appendix A) is read aloud. One student volunteers (or is asked) to interview the patient and her mother. The student sits in the central chair and proceeds to offer vaccinations to the mother. The mother has concerns about vaccines that she shares with the medical student interviewer: presence of metals such as aluminum, the funding of all published studies on vaccines by their manufacturer, the sheer number of vaccines recommended by CDC before kindergarten, the doubts that vaccines even prevent any important diseases, the adjuvants, and others. (Guide for Standardized Patient = Appendix C)</w:t>
      </w:r>
      <w:r w:rsidRPr="00BE4606">
        <w:rPr>
          <w:rFonts w:cs="Arial"/>
          <w:color w:val="606060"/>
          <w:sz w:val="20"/>
          <w:szCs w:val="20"/>
        </w:rPr>
        <w:br/>
      </w:r>
      <w:r w:rsidRPr="00BE4606">
        <w:rPr>
          <w:rFonts w:cs="Arial"/>
          <w:color w:val="606060"/>
          <w:sz w:val="20"/>
          <w:szCs w:val="20"/>
        </w:rPr>
        <w:br/>
        <w:t>The student tries to convince the patient's mother. After several minutes, the student typically calls for help. The faculty facilitator then "pauses" the interview and debriefs the discussion to this point, including highlighting key phrases that the patient used and possible turning points in the conversation. The students who have watched the "fishbowl" interview are invited to comment.</w:t>
      </w:r>
      <w:r w:rsidRPr="00BE4606">
        <w:rPr>
          <w:rFonts w:cs="Arial"/>
          <w:color w:val="606060"/>
          <w:sz w:val="20"/>
          <w:szCs w:val="20"/>
        </w:rPr>
        <w:br/>
      </w:r>
      <w:r w:rsidRPr="00BE4606">
        <w:rPr>
          <w:rFonts w:cs="Arial"/>
          <w:color w:val="606060"/>
          <w:sz w:val="20"/>
          <w:szCs w:val="20"/>
        </w:rPr>
        <w:br/>
        <w:t>The facilitator then takes the interview chair and concludes the interview, role modeling techniques such as empathic listening, motivational interviewing, shared decision making, and humble patient education (Facilitator Guide = Appendix B).</w:t>
      </w:r>
      <w:r w:rsidRPr="00BE4606">
        <w:rPr>
          <w:rFonts w:cs="Arial"/>
          <w:color w:val="606060"/>
          <w:sz w:val="20"/>
          <w:szCs w:val="20"/>
        </w:rPr>
        <w:br/>
      </w:r>
      <w:r w:rsidRPr="00BE4606">
        <w:rPr>
          <w:rFonts w:cs="Arial"/>
          <w:color w:val="606060"/>
          <w:sz w:val="20"/>
          <w:szCs w:val="20"/>
        </w:rPr>
        <w:br/>
        <w:t>The role of family medicine in this encounter is a major hidden message, as the physician here cares for both mom and child and has both of their interests at heart. Family medicine as a discipline also has particular interest and skills in shared decision making and motivational interviewing for a wide variety of lifestyle changes.</w:t>
      </w:r>
      <w:r w:rsidRPr="00BE4606">
        <w:rPr>
          <w:rFonts w:cs="Arial"/>
          <w:color w:val="606060"/>
          <w:sz w:val="20"/>
          <w:szCs w:val="20"/>
        </w:rPr>
        <w:br/>
      </w:r>
      <w:r w:rsidRPr="00BE4606">
        <w:rPr>
          <w:rFonts w:cs="Arial"/>
          <w:color w:val="606060"/>
          <w:sz w:val="20"/>
          <w:szCs w:val="20"/>
        </w:rPr>
        <w:br/>
        <w:t>There exist other described curricula for pediatrics students and for pediatrics residents with more hours devoted to teaching this topic in several parts, including some preparatory work (</w:t>
      </w:r>
      <w:proofErr w:type="spellStart"/>
      <w:r w:rsidRPr="00BE4606">
        <w:rPr>
          <w:rFonts w:cs="Arial"/>
          <w:color w:val="606060"/>
          <w:sz w:val="20"/>
          <w:szCs w:val="20"/>
        </w:rPr>
        <w:t>Morhardt</w:t>
      </w:r>
      <w:proofErr w:type="spellEnd"/>
      <w:r w:rsidRPr="00BE4606">
        <w:rPr>
          <w:rFonts w:cs="Arial"/>
          <w:color w:val="606060"/>
          <w:sz w:val="20"/>
          <w:szCs w:val="20"/>
        </w:rPr>
        <w:t xml:space="preserve"> T, et al. Vaccine curriculum to engage vaccine-hesitant families: didactics and communication techniques with simulated patient encounter. </w:t>
      </w:r>
      <w:proofErr w:type="spellStart"/>
      <w:r w:rsidRPr="00BE4606">
        <w:rPr>
          <w:rFonts w:cs="Arial"/>
          <w:color w:val="606060"/>
          <w:sz w:val="20"/>
          <w:szCs w:val="20"/>
        </w:rPr>
        <w:t>MedEdPORTAL</w:t>
      </w:r>
      <w:proofErr w:type="spellEnd"/>
      <w:r w:rsidRPr="00BE4606">
        <w:rPr>
          <w:rFonts w:cs="Arial"/>
          <w:color w:val="606060"/>
          <w:sz w:val="20"/>
          <w:szCs w:val="20"/>
        </w:rPr>
        <w:t xml:space="preserve">. </w:t>
      </w:r>
      <w:proofErr w:type="gramStart"/>
      <w:r w:rsidRPr="00BE4606">
        <w:rPr>
          <w:rFonts w:cs="Arial"/>
          <w:color w:val="606060"/>
          <w:sz w:val="20"/>
          <w:szCs w:val="20"/>
        </w:rPr>
        <w:t>2016;12:10400</w:t>
      </w:r>
      <w:proofErr w:type="gramEnd"/>
      <w:r w:rsidRPr="00BE4606">
        <w:rPr>
          <w:rFonts w:cs="Arial"/>
          <w:color w:val="606060"/>
          <w:sz w:val="20"/>
          <w:szCs w:val="20"/>
        </w:rPr>
        <w:t>). In contrast, our session is a one-hour experience in a third-year Family Medicine clerkship designed as an introduction to an issue taught nowhere else in medical school. Students exit the session with better understanding of the issue and resources to assist with conversations with patients going forward. Not all students will have the chance to interact with the standardized patient directly, and not every facet of this complex issue is covered in a single hour.</w:t>
      </w:r>
      <w:r w:rsidRPr="00BE4606">
        <w:rPr>
          <w:rFonts w:cs="Arial"/>
          <w:color w:val="606060"/>
          <w:sz w:val="20"/>
          <w:szCs w:val="20"/>
        </w:rPr>
        <w:br/>
      </w:r>
      <w:r w:rsidRPr="00BE4606">
        <w:rPr>
          <w:rFonts w:cs="Arial"/>
          <w:color w:val="606060"/>
          <w:sz w:val="20"/>
          <w:szCs w:val="20"/>
        </w:rPr>
        <w:br/>
      </w:r>
      <w:r w:rsidRPr="00BE4606">
        <w:rPr>
          <w:rFonts w:ascii="Arial" w:hAnsi="Arial" w:cs="Arial"/>
          <w:color w:val="606060"/>
          <w:sz w:val="21"/>
          <w:szCs w:val="21"/>
        </w:rPr>
        <w:t>Handouts (paper and online) are distributed (Appendix D) to give students some facts and unbiased research about the various vaccines in the CDC schedule. The website is below for all 13 vaccine handouts; one example (MMR) is included as Appendix E:</w:t>
      </w:r>
      <w:r w:rsidRPr="00BE4606">
        <w:rPr>
          <w:rFonts w:ascii="Arial" w:hAnsi="Arial" w:cs="Arial"/>
          <w:color w:val="606060"/>
          <w:sz w:val="21"/>
          <w:szCs w:val="21"/>
        </w:rPr>
        <w:br/>
      </w:r>
      <w:hyperlink r:id="rId5" w:history="1">
        <w:r w:rsidRPr="0049329E">
          <w:rPr>
            <w:rStyle w:val="Hyperlink"/>
            <w:rFonts w:ascii="Arial" w:hAnsi="Arial" w:cs="Arial"/>
            <w:sz w:val="21"/>
            <w:szCs w:val="21"/>
          </w:rPr>
          <w:t>http://tusk.tufts.edu/view/content/Medical/3052/2035243</w:t>
        </w:r>
      </w:hyperlink>
    </w:p>
    <w:p w14:paraId="3E289507" w14:textId="77777777" w:rsidR="00E50BDF" w:rsidRDefault="00E50BDF" w:rsidP="00BE4606">
      <w:pPr>
        <w:spacing w:before="75" w:after="75" w:line="300" w:lineRule="atLeast"/>
        <w:rPr>
          <w:rFonts w:ascii="Arial" w:hAnsi="Arial" w:cs="Arial"/>
          <w:color w:val="606060"/>
          <w:sz w:val="21"/>
          <w:szCs w:val="21"/>
        </w:rPr>
      </w:pPr>
    </w:p>
    <w:p w14:paraId="35E9FB3F" w14:textId="77777777" w:rsidR="00E50BDF" w:rsidRPr="00F92DC9" w:rsidRDefault="00E50BDF" w:rsidP="00E50BDF">
      <w:pPr>
        <w:rPr>
          <w:i/>
          <w:sz w:val="20"/>
          <w:szCs w:val="20"/>
        </w:rPr>
      </w:pPr>
      <w:r w:rsidRPr="00E50BDF">
        <w:rPr>
          <w:i/>
          <w:sz w:val="20"/>
          <w:szCs w:val="20"/>
        </w:rPr>
        <w:t>Please match your educational methods with those listed below in accordance with the National Clerkship Curriculum.</w:t>
      </w:r>
    </w:p>
    <w:p w14:paraId="6C586139" w14:textId="77777777" w:rsidR="00E50BDF" w:rsidRPr="00F92DC9" w:rsidRDefault="00E50BDF" w:rsidP="00E50BDF">
      <w:pPr>
        <w:pStyle w:val="ListParagraph"/>
        <w:numPr>
          <w:ilvl w:val="0"/>
          <w:numId w:val="5"/>
        </w:numPr>
        <w:rPr>
          <w:rFonts w:ascii="Times New Roman" w:eastAsia="Times New Roman" w:hAnsi="Times New Roman" w:cs="Times New Roman"/>
          <w:sz w:val="20"/>
          <w:szCs w:val="20"/>
        </w:rPr>
      </w:pPr>
      <w:r w:rsidRPr="00F92DC9">
        <w:rPr>
          <w:sz w:val="20"/>
          <w:szCs w:val="20"/>
        </w:rPr>
        <w:t>Experiential Learning</w:t>
      </w:r>
    </w:p>
    <w:p w14:paraId="1596B089" w14:textId="77777777" w:rsidR="00E50BDF" w:rsidRPr="00F92DC9" w:rsidRDefault="00E50BDF" w:rsidP="00E50BDF">
      <w:pPr>
        <w:pStyle w:val="ListParagraph"/>
        <w:numPr>
          <w:ilvl w:val="0"/>
          <w:numId w:val="5"/>
        </w:numPr>
        <w:rPr>
          <w:sz w:val="20"/>
          <w:szCs w:val="20"/>
        </w:rPr>
      </w:pPr>
      <w:r w:rsidRPr="00F92DC9">
        <w:rPr>
          <w:sz w:val="20"/>
          <w:szCs w:val="20"/>
        </w:rPr>
        <w:t>Small Group Sessions</w:t>
      </w:r>
    </w:p>
    <w:p w14:paraId="50FF2FBE" w14:textId="77777777" w:rsidR="00E50BDF" w:rsidRPr="00F92DC9" w:rsidRDefault="00E50BDF" w:rsidP="00E50BDF">
      <w:pPr>
        <w:pStyle w:val="ListParagraph"/>
        <w:numPr>
          <w:ilvl w:val="0"/>
          <w:numId w:val="5"/>
        </w:numPr>
        <w:rPr>
          <w:sz w:val="20"/>
          <w:szCs w:val="20"/>
        </w:rPr>
      </w:pPr>
      <w:r w:rsidRPr="00F92DC9">
        <w:rPr>
          <w:sz w:val="20"/>
          <w:szCs w:val="20"/>
        </w:rPr>
        <w:t>Simulation/Standardized Patients</w:t>
      </w:r>
    </w:p>
    <w:p w14:paraId="68D759CC" w14:textId="77777777" w:rsidR="00E50BDF" w:rsidRPr="00F92DC9" w:rsidRDefault="00E50BDF" w:rsidP="00E50BDF">
      <w:pPr>
        <w:pStyle w:val="ListParagraph"/>
        <w:numPr>
          <w:ilvl w:val="0"/>
          <w:numId w:val="5"/>
        </w:numPr>
        <w:rPr>
          <w:sz w:val="20"/>
          <w:szCs w:val="20"/>
        </w:rPr>
      </w:pPr>
      <w:r w:rsidRPr="00F92DC9">
        <w:rPr>
          <w:noProof/>
          <w:sz w:val="20"/>
          <w:szCs w:val="20"/>
        </w:rPr>
        <w:drawing>
          <wp:inline distT="0" distB="0" distL="0" distR="0" wp14:anchorId="067D65C4" wp14:editId="13B5C5C8">
            <wp:extent cx="6985" cy="6985"/>
            <wp:effectExtent l="0" t="0" r="0" b="0"/>
            <wp:docPr id="27" name="Picture 27" descr="https://mc.manuscriptcentral.com/images/en_US/icons/config_check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mc.manuscriptcentral.com/images/en_US/icons/config_check_blank.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F92DC9">
        <w:rPr>
          <w:sz w:val="20"/>
          <w:szCs w:val="20"/>
        </w:rPr>
        <w:t>Case-Based Learning</w:t>
      </w:r>
    </w:p>
    <w:p w14:paraId="289CD5C8" w14:textId="77777777" w:rsidR="00F92DC9" w:rsidRDefault="00F92DC9" w:rsidP="00F92DC9"/>
    <w:p w14:paraId="23C21800" w14:textId="77777777" w:rsidR="00F92DC9" w:rsidRDefault="00F92DC9" w:rsidP="00F92DC9"/>
    <w:p w14:paraId="681F7045" w14:textId="77777777" w:rsidR="00F92DC9" w:rsidRPr="00C53685" w:rsidRDefault="00F92DC9" w:rsidP="00F92DC9">
      <w:pPr>
        <w:rPr>
          <w:rFonts w:ascii="Times New Roman" w:eastAsia="Times New Roman" w:hAnsi="Times New Roman" w:cs="Times New Roman"/>
          <w:color w:val="000000" w:themeColor="text1"/>
          <w:sz w:val="20"/>
          <w:szCs w:val="20"/>
        </w:rPr>
      </w:pPr>
      <w:r w:rsidRPr="00C53685">
        <w:rPr>
          <w:rFonts w:ascii="Arial" w:eastAsia="Times New Roman" w:hAnsi="Arial" w:cs="Arial"/>
          <w:b/>
          <w:bCs/>
          <w:color w:val="000000" w:themeColor="text1"/>
          <w:sz w:val="20"/>
          <w:szCs w:val="20"/>
          <w:shd w:val="clear" w:color="auto" w:fill="FFFFFF"/>
        </w:rPr>
        <w:t>Assessment Strategies to achieve outcomes</w:t>
      </w:r>
    </w:p>
    <w:p w14:paraId="6C797AAA" w14:textId="77777777" w:rsidR="00F92DC9" w:rsidRDefault="00F92DC9" w:rsidP="00F92DC9">
      <w:pPr>
        <w:rPr>
          <w:rFonts w:eastAsia="Times New Roman" w:cs="Arial"/>
          <w:i/>
          <w:color w:val="606060"/>
          <w:sz w:val="18"/>
          <w:szCs w:val="18"/>
          <w:shd w:val="clear" w:color="auto" w:fill="FFFFFF"/>
        </w:rPr>
      </w:pPr>
    </w:p>
    <w:p w14:paraId="0B63B1F7" w14:textId="77777777" w:rsidR="00F92DC9" w:rsidRDefault="00F92DC9" w:rsidP="00F92DC9">
      <w:pPr>
        <w:rPr>
          <w:sz w:val="20"/>
          <w:szCs w:val="20"/>
        </w:rPr>
      </w:pPr>
      <w:r w:rsidRPr="00F92DC9">
        <w:rPr>
          <w:sz w:val="20"/>
          <w:szCs w:val="20"/>
        </w:rPr>
        <w:t>For each of these 3 objectives, listed again below, the faculty facilitator as well as the standardized patient assess the student interviewer(s), as well as the participation and attitudes of the fishbowl observing students. Some sessions are conducive to peer feedback as well. We do not include exam questions on the clerkship final exam on this topic, though some schools might c</w:t>
      </w:r>
      <w:r>
        <w:rPr>
          <w:sz w:val="20"/>
          <w:szCs w:val="20"/>
        </w:rPr>
        <w:t>hoose to do this.</w:t>
      </w:r>
      <w:r>
        <w:rPr>
          <w:sz w:val="20"/>
          <w:szCs w:val="20"/>
        </w:rPr>
        <w:br/>
      </w:r>
      <w:r>
        <w:rPr>
          <w:sz w:val="20"/>
          <w:szCs w:val="20"/>
        </w:rPr>
        <w:br/>
        <w:t>Objectives:</w:t>
      </w:r>
    </w:p>
    <w:p w14:paraId="0AAEFAEB" w14:textId="77777777" w:rsidR="00F92DC9" w:rsidRDefault="00F92DC9" w:rsidP="00F92DC9">
      <w:pPr>
        <w:pStyle w:val="ListParagraph"/>
        <w:numPr>
          <w:ilvl w:val="0"/>
          <w:numId w:val="8"/>
        </w:numPr>
        <w:rPr>
          <w:sz w:val="20"/>
          <w:szCs w:val="20"/>
        </w:rPr>
      </w:pPr>
      <w:r w:rsidRPr="00F92DC9">
        <w:rPr>
          <w:sz w:val="20"/>
          <w:szCs w:val="20"/>
        </w:rPr>
        <w:t xml:space="preserve">Teach an approach to conducting a wellness visit for a </w:t>
      </w:r>
      <w:r>
        <w:rPr>
          <w:sz w:val="20"/>
          <w:szCs w:val="20"/>
        </w:rPr>
        <w:t>patient of any age or gender.</w:t>
      </w:r>
    </w:p>
    <w:p w14:paraId="75DCC6F6" w14:textId="77777777" w:rsidR="00F92DC9" w:rsidRDefault="00F92DC9" w:rsidP="00F92DC9">
      <w:pPr>
        <w:pStyle w:val="ListParagraph"/>
        <w:numPr>
          <w:ilvl w:val="0"/>
          <w:numId w:val="8"/>
        </w:numPr>
        <w:rPr>
          <w:sz w:val="20"/>
          <w:szCs w:val="20"/>
        </w:rPr>
      </w:pPr>
      <w:r w:rsidRPr="00F92DC9">
        <w:rPr>
          <w:sz w:val="20"/>
          <w:szCs w:val="20"/>
        </w:rPr>
        <w:t>Model the pri</w:t>
      </w:r>
      <w:r>
        <w:rPr>
          <w:sz w:val="20"/>
          <w:szCs w:val="20"/>
        </w:rPr>
        <w:t>nciples of family medicine.</w:t>
      </w:r>
    </w:p>
    <w:p w14:paraId="31C9B10C" w14:textId="77777777" w:rsidR="00F92DC9" w:rsidRPr="00F92DC9" w:rsidRDefault="00F92DC9" w:rsidP="00F92DC9">
      <w:pPr>
        <w:pStyle w:val="ListParagraph"/>
        <w:numPr>
          <w:ilvl w:val="0"/>
          <w:numId w:val="8"/>
        </w:numPr>
        <w:rPr>
          <w:sz w:val="20"/>
          <w:szCs w:val="20"/>
        </w:rPr>
      </w:pPr>
      <w:r w:rsidRPr="00F92DC9">
        <w:rPr>
          <w:sz w:val="20"/>
          <w:szCs w:val="20"/>
        </w:rPr>
        <w:t>Provide instruction in historical assessment, communication, physical examination, and clinical reasoning skills.</w:t>
      </w:r>
      <w:r w:rsidRPr="00F92DC9">
        <w:rPr>
          <w:rFonts w:ascii="Arial" w:eastAsia="Times New Roman" w:hAnsi="Arial" w:cs="Arial"/>
          <w:color w:val="606060"/>
          <w:sz w:val="21"/>
          <w:szCs w:val="21"/>
        </w:rPr>
        <w:br w:type="textWrapping" w:clear="all"/>
      </w:r>
      <w:r w:rsidRPr="00F92DC9">
        <w:rPr>
          <w:rFonts w:ascii="Arial" w:eastAsia="Times New Roman" w:hAnsi="Arial" w:cs="Arial"/>
          <w:color w:val="606060"/>
          <w:sz w:val="21"/>
          <w:szCs w:val="21"/>
        </w:rPr>
        <w:br w:type="textWrapping" w:clear="all"/>
      </w:r>
      <w:r w:rsidRPr="00F92DC9">
        <w:rPr>
          <w:rFonts w:eastAsia="Times New Roman" w:cs="Arial"/>
          <w:i/>
          <w:color w:val="606060"/>
          <w:sz w:val="20"/>
          <w:szCs w:val="20"/>
        </w:rPr>
        <w:t xml:space="preserve">Please match your strategies with those listed below in accordance with the National Clerkship Curriculum. </w:t>
      </w:r>
    </w:p>
    <w:p w14:paraId="2199DF92" w14:textId="77777777" w:rsidR="00F92DC9" w:rsidRPr="00F92DC9" w:rsidRDefault="00F92DC9" w:rsidP="00F92DC9">
      <w:pPr>
        <w:pStyle w:val="ListParagraph"/>
        <w:numPr>
          <w:ilvl w:val="0"/>
          <w:numId w:val="6"/>
        </w:numPr>
        <w:rPr>
          <w:sz w:val="20"/>
          <w:szCs w:val="20"/>
        </w:rPr>
      </w:pPr>
      <w:r w:rsidRPr="00F92DC9">
        <w:rPr>
          <w:sz w:val="20"/>
          <w:szCs w:val="20"/>
        </w:rPr>
        <w:t>Student Assessment &amp; Evaluation (Are your students learning?)</w:t>
      </w:r>
    </w:p>
    <w:p w14:paraId="27229F16" w14:textId="77777777" w:rsidR="00F92DC9" w:rsidRPr="00F92DC9" w:rsidRDefault="00F92DC9" w:rsidP="00F92DC9">
      <w:pPr>
        <w:pStyle w:val="ListParagraph"/>
        <w:framePr w:hSpace="60" w:wrap="around" w:vAnchor="text" w:hAnchor="text"/>
        <w:numPr>
          <w:ilvl w:val="0"/>
          <w:numId w:val="6"/>
        </w:numPr>
        <w:rPr>
          <w:sz w:val="20"/>
          <w:szCs w:val="20"/>
        </w:rPr>
      </w:pPr>
      <w:r w:rsidRPr="00F92DC9">
        <w:rPr>
          <w:sz w:val="20"/>
          <w:szCs w:val="20"/>
        </w:rPr>
        <w:t>Overall Clerkship Evaluation &amp; Improvement (Is your clerkship meeting all of its objectives?)</w:t>
      </w:r>
    </w:p>
    <w:p w14:paraId="763DC78F" w14:textId="77777777" w:rsidR="00F92DC9" w:rsidRPr="00F92DC9" w:rsidRDefault="00F92DC9" w:rsidP="00F92DC9">
      <w:pPr>
        <w:framePr w:hSpace="60" w:wrap="around" w:vAnchor="text" w:hAnchor="text"/>
      </w:pPr>
    </w:p>
    <w:p w14:paraId="3B1DBE79" w14:textId="77777777" w:rsidR="00F92DC9" w:rsidRDefault="00F92DC9" w:rsidP="00F92DC9">
      <w:pPr>
        <w:rPr>
          <w:rFonts w:eastAsia="Times New Roman" w:cs="Arial"/>
          <w:i/>
          <w:color w:val="606060"/>
          <w:sz w:val="18"/>
          <w:szCs w:val="18"/>
          <w:shd w:val="clear" w:color="auto" w:fill="FFFFFF"/>
        </w:rPr>
      </w:pPr>
      <w:r w:rsidRPr="00F92DC9">
        <w:rPr>
          <w:rFonts w:eastAsia="Times New Roman" w:cs="Arial"/>
          <w:i/>
          <w:color w:val="606060"/>
          <w:sz w:val="18"/>
          <w:szCs w:val="18"/>
          <w:shd w:val="clear" w:color="auto" w:fill="FFFFFF"/>
        </w:rPr>
        <w:t>.</w:t>
      </w:r>
    </w:p>
    <w:p w14:paraId="7F20F5CE" w14:textId="77777777" w:rsidR="00F92DC9" w:rsidRPr="00F92DC9" w:rsidRDefault="00F92DC9" w:rsidP="00F92DC9">
      <w:pPr>
        <w:rPr>
          <w:b/>
          <w:sz w:val="20"/>
          <w:szCs w:val="20"/>
        </w:rPr>
      </w:pPr>
      <w:r w:rsidRPr="00F92DC9">
        <w:rPr>
          <w:b/>
          <w:sz w:val="20"/>
          <w:szCs w:val="20"/>
        </w:rPr>
        <w:t>Lessons Learned</w:t>
      </w:r>
    </w:p>
    <w:p w14:paraId="6C4463B0" w14:textId="77777777" w:rsidR="00F92DC9" w:rsidRDefault="00F92DC9" w:rsidP="00F92DC9">
      <w:pPr>
        <w:rPr>
          <w:sz w:val="20"/>
          <w:szCs w:val="20"/>
        </w:rPr>
      </w:pPr>
    </w:p>
    <w:p w14:paraId="16B143E3" w14:textId="77777777" w:rsidR="00F92DC9" w:rsidRPr="00F92DC9" w:rsidRDefault="00F92DC9" w:rsidP="00F92DC9">
      <w:pPr>
        <w:rPr>
          <w:sz w:val="20"/>
          <w:szCs w:val="20"/>
        </w:rPr>
      </w:pPr>
      <w:r w:rsidRPr="00F92DC9">
        <w:rPr>
          <w:sz w:val="20"/>
          <w:szCs w:val="20"/>
        </w:rPr>
        <w:t>Lesson</w:t>
      </w:r>
      <w:r>
        <w:rPr>
          <w:sz w:val="20"/>
          <w:szCs w:val="20"/>
        </w:rPr>
        <w:t>s/Barriers/Facilitators</w:t>
      </w:r>
      <w:r w:rsidRPr="00F92DC9">
        <w:rPr>
          <w:sz w:val="20"/>
          <w:szCs w:val="20"/>
        </w:rPr>
        <w:br/>
        <w:t xml:space="preserve">1) A strong standardized patient is a key facilitating element. We happen to have an actual patient whose personal values are similar to those of the patient in the case. Her knowledge and passion about this subject are invaluable, as is the presence of her actual (adorable) daughter. She beautifully shares how, over the years of bringing her 4 children to their family doctor, her views on vaccines and her acceptance of immunizations have changed and her 4th child is fully vaccinated. Part of the reason for this evolution is the trust, communication, and deep personal relationship she feels with her doctor. To transport this session to another medical school, a similar real patient is ideal, but a </w:t>
      </w:r>
      <w:proofErr w:type="spellStart"/>
      <w:proofErr w:type="gramStart"/>
      <w:r w:rsidRPr="00F92DC9">
        <w:rPr>
          <w:sz w:val="20"/>
          <w:szCs w:val="20"/>
        </w:rPr>
        <w:t>well trained</w:t>
      </w:r>
      <w:proofErr w:type="spellEnd"/>
      <w:proofErr w:type="gramEnd"/>
      <w:r w:rsidRPr="00F92DC9">
        <w:rPr>
          <w:sz w:val="20"/>
          <w:szCs w:val="20"/>
        </w:rPr>
        <w:t xml:space="preserve"> SP could be very effective as well. One barrier is that we are unable to provide all students in the group (20+ students) the chance to interview the SP directly (hence the "fishbowl" method in which most students sit "outside the fishbowl" observing the student who is conducting the interview).</w:t>
      </w:r>
      <w:r w:rsidRPr="00F92DC9">
        <w:rPr>
          <w:sz w:val="20"/>
          <w:szCs w:val="20"/>
        </w:rPr>
        <w:br/>
      </w:r>
      <w:r w:rsidRPr="00F92DC9">
        <w:rPr>
          <w:sz w:val="20"/>
          <w:szCs w:val="20"/>
        </w:rPr>
        <w:br/>
        <w:t>Program Evaluation</w:t>
      </w:r>
      <w:r w:rsidRPr="00F92DC9">
        <w:rPr>
          <w:sz w:val="20"/>
          <w:szCs w:val="20"/>
        </w:rPr>
        <w:br/>
        <w:t>2) Students complete a written evaluation of the session at the end of the session (noon) and submit their anonymous evaluations by the end of the day (5pm). Student quantitative anonymous ratings have averaged 3.87 out of 4.00 on questions about usefulness of content, and effectiveness of facilitator. Anonymous qualitative comments are in response to written open ended questions about learning strengths of the complete day of sessions and suggestions for improvement.</w:t>
      </w:r>
      <w:r w:rsidRPr="00F92DC9">
        <w:rPr>
          <w:sz w:val="20"/>
          <w:szCs w:val="20"/>
        </w:rPr>
        <w:br/>
      </w:r>
      <w:r w:rsidRPr="00F92DC9">
        <w:rPr>
          <w:sz w:val="20"/>
          <w:szCs w:val="20"/>
        </w:rPr>
        <w:br/>
        <w:t>With regard to this session, written qualitative evaluations have been positive, with themes such as appreciation of the chance to practice motivational interviewing on a topic not usually discussed, appreciation of the SP presence, appreciation for the role modeling of faculty conducting the interview, and specific tools given to address the issue of vaccine hesitancy/declination.</w:t>
      </w:r>
      <w:r w:rsidRPr="00F92DC9">
        <w:rPr>
          <w:sz w:val="20"/>
          <w:szCs w:val="20"/>
        </w:rPr>
        <w:br/>
      </w:r>
      <w:r w:rsidRPr="00F92DC9">
        <w:rPr>
          <w:sz w:val="20"/>
          <w:szCs w:val="20"/>
        </w:rPr>
        <w:br/>
        <w:t>3) Scholarly materials at present include the online (free and available to public) repository of patient-friendly handouts on each vaccine containing unbiased information on pros and cons. http://tusk.tufts.edu/view/content/Medical/3052/2035243</w:t>
      </w:r>
    </w:p>
    <w:p w14:paraId="29861323" w14:textId="77777777" w:rsidR="00F92DC9" w:rsidRPr="00F92DC9" w:rsidRDefault="00F92DC9" w:rsidP="00F92DC9">
      <w:pPr>
        <w:rPr>
          <w:sz w:val="20"/>
          <w:szCs w:val="20"/>
        </w:rPr>
      </w:pPr>
    </w:p>
    <w:p w14:paraId="1798FDFC" w14:textId="77777777" w:rsidR="00F92DC9" w:rsidRPr="00F92DC9" w:rsidRDefault="00F92DC9" w:rsidP="00F92DC9">
      <w:pPr>
        <w:rPr>
          <w:rFonts w:ascii="Times New Roman" w:eastAsia="Times New Roman" w:hAnsi="Times New Roman" w:cs="Times New Roman"/>
        </w:rPr>
      </w:pPr>
      <w:r w:rsidRPr="00F92DC9">
        <w:rPr>
          <w:sz w:val="20"/>
          <w:szCs w:val="20"/>
        </w:rPr>
        <w:br/>
      </w:r>
      <w:r w:rsidRPr="00F92DC9">
        <w:rPr>
          <w:rFonts w:ascii="Arial" w:eastAsia="Times New Roman" w:hAnsi="Arial" w:cs="Arial"/>
          <w:b/>
          <w:bCs/>
          <w:color w:val="606060"/>
          <w:sz w:val="21"/>
          <w:szCs w:val="21"/>
          <w:shd w:val="clear" w:color="auto" w:fill="FFFFFF"/>
        </w:rPr>
        <w:t>Explanation of Appendices</w:t>
      </w:r>
    </w:p>
    <w:p w14:paraId="63545EF9" w14:textId="77777777" w:rsidR="00F92DC9" w:rsidRDefault="00F92DC9" w:rsidP="00F92DC9">
      <w:pPr>
        <w:rPr>
          <w:sz w:val="20"/>
          <w:szCs w:val="20"/>
        </w:rPr>
      </w:pPr>
    </w:p>
    <w:p w14:paraId="36CC59AA" w14:textId="77777777" w:rsidR="00F92DC9" w:rsidRPr="00F92DC9" w:rsidRDefault="00F92DC9" w:rsidP="00F92DC9">
      <w:pPr>
        <w:spacing w:line="240" w:lineRule="atLeast"/>
        <w:rPr>
          <w:rFonts w:eastAsia="Times New Roman" w:cs="Arial"/>
          <w:i/>
          <w:color w:val="606060"/>
          <w:sz w:val="18"/>
          <w:szCs w:val="18"/>
        </w:rPr>
      </w:pPr>
      <w:r w:rsidRPr="00F92DC9">
        <w:rPr>
          <w:rFonts w:eastAsia="Times New Roman" w:cs="Arial"/>
          <w:i/>
          <w:color w:val="606060"/>
          <w:sz w:val="18"/>
          <w:szCs w:val="18"/>
        </w:rPr>
        <w:t>Clearly describe for someone who is not familiar with your curricular materials about how each of your appendices should be used. Label the appendices A, B, C, etc. In the description, please refer to these labels as you describe each Appendix. Examples of useful appendices include copies of evaluation and instructional tools used in the curricular materials.</w:t>
      </w:r>
    </w:p>
    <w:p w14:paraId="5898951D" w14:textId="77777777" w:rsidR="00F92DC9" w:rsidRPr="00F92DC9" w:rsidRDefault="00F92DC9" w:rsidP="00F92DC9">
      <w:pPr>
        <w:pStyle w:val="ListParagraph"/>
        <w:numPr>
          <w:ilvl w:val="0"/>
          <w:numId w:val="9"/>
        </w:numPr>
        <w:spacing w:before="75" w:after="75" w:line="300" w:lineRule="atLeast"/>
        <w:rPr>
          <w:rFonts w:cs="Arial"/>
          <w:color w:val="606060"/>
          <w:sz w:val="20"/>
          <w:szCs w:val="20"/>
        </w:rPr>
      </w:pPr>
      <w:r w:rsidRPr="00F92DC9">
        <w:rPr>
          <w:rFonts w:cs="Arial"/>
          <w:color w:val="606060"/>
          <w:sz w:val="20"/>
          <w:szCs w:val="20"/>
        </w:rPr>
        <w:t>Appendix A: Distribute the case; have a student read it aloud. Use the learning objectives to guide the discussion.</w:t>
      </w:r>
    </w:p>
    <w:p w14:paraId="709D68E0" w14:textId="77777777" w:rsidR="00F92DC9" w:rsidRPr="00F92DC9" w:rsidRDefault="00F92DC9" w:rsidP="00F92DC9">
      <w:pPr>
        <w:pStyle w:val="ListParagraph"/>
        <w:numPr>
          <w:ilvl w:val="0"/>
          <w:numId w:val="9"/>
        </w:numPr>
        <w:spacing w:before="75" w:after="75" w:line="300" w:lineRule="atLeast"/>
        <w:rPr>
          <w:rFonts w:cs="Arial"/>
          <w:color w:val="606060"/>
          <w:sz w:val="20"/>
          <w:szCs w:val="20"/>
        </w:rPr>
      </w:pPr>
      <w:r w:rsidRPr="00F92DC9">
        <w:rPr>
          <w:rFonts w:cs="Arial"/>
          <w:color w:val="606060"/>
          <w:sz w:val="20"/>
          <w:szCs w:val="20"/>
        </w:rPr>
        <w:t>Appendix B: The facilitator guide assists the faculty facilitator, including a specific timeline for an hour-long session.</w:t>
      </w:r>
    </w:p>
    <w:p w14:paraId="61CD566E" w14:textId="77777777" w:rsidR="00F92DC9" w:rsidRPr="00F92DC9" w:rsidRDefault="00F92DC9" w:rsidP="00F92DC9">
      <w:pPr>
        <w:pStyle w:val="ListParagraph"/>
        <w:numPr>
          <w:ilvl w:val="0"/>
          <w:numId w:val="9"/>
        </w:numPr>
        <w:spacing w:before="75" w:after="75" w:line="300" w:lineRule="atLeast"/>
        <w:rPr>
          <w:rFonts w:cs="Arial"/>
          <w:color w:val="606060"/>
          <w:sz w:val="20"/>
          <w:szCs w:val="20"/>
        </w:rPr>
      </w:pPr>
      <w:r w:rsidRPr="00F92DC9">
        <w:rPr>
          <w:rFonts w:cs="Arial"/>
          <w:color w:val="606060"/>
          <w:sz w:val="20"/>
          <w:szCs w:val="20"/>
        </w:rPr>
        <w:t>Appendix C: The standardized patient guide assists the SP with background about the patient and suggests for responses to potential student interview styles.</w:t>
      </w:r>
    </w:p>
    <w:p w14:paraId="1D7999F2" w14:textId="77777777" w:rsidR="00F92DC9" w:rsidRPr="00F92DC9" w:rsidRDefault="00F92DC9" w:rsidP="00F92DC9">
      <w:pPr>
        <w:pStyle w:val="ListParagraph"/>
        <w:numPr>
          <w:ilvl w:val="0"/>
          <w:numId w:val="9"/>
        </w:numPr>
        <w:spacing w:before="75" w:after="75" w:line="300" w:lineRule="atLeast"/>
        <w:rPr>
          <w:rFonts w:cs="Arial"/>
          <w:color w:val="606060"/>
          <w:sz w:val="20"/>
          <w:szCs w:val="20"/>
        </w:rPr>
      </w:pPr>
      <w:r w:rsidRPr="00F92DC9">
        <w:rPr>
          <w:rFonts w:cs="Arial"/>
          <w:color w:val="606060"/>
          <w:sz w:val="20"/>
          <w:szCs w:val="20"/>
        </w:rPr>
        <w:t>Appendix D: Student handout with teaching points and links to resources.</w:t>
      </w:r>
    </w:p>
    <w:p w14:paraId="5D13A68A" w14:textId="77777777" w:rsidR="00F92DC9" w:rsidRPr="00F92DC9" w:rsidRDefault="00F92DC9" w:rsidP="00F92DC9">
      <w:pPr>
        <w:pStyle w:val="ListParagraph"/>
        <w:numPr>
          <w:ilvl w:val="0"/>
          <w:numId w:val="9"/>
        </w:numPr>
        <w:spacing w:before="75" w:after="75" w:line="300" w:lineRule="atLeast"/>
        <w:rPr>
          <w:rFonts w:cs="Arial"/>
          <w:color w:val="606060"/>
          <w:sz w:val="20"/>
          <w:szCs w:val="20"/>
        </w:rPr>
      </w:pPr>
      <w:r w:rsidRPr="00F92DC9">
        <w:rPr>
          <w:rFonts w:cs="Arial"/>
          <w:color w:val="606060"/>
          <w:sz w:val="20"/>
          <w:szCs w:val="20"/>
        </w:rPr>
        <w:t>Appendix E: One example of the repository of handouts about the common vaccines, available to students after the session. Full repository here: http://tusk.tufts.edu/view/content/Medical/3052/2035243</w:t>
      </w:r>
    </w:p>
    <w:p w14:paraId="55E8DCDD" w14:textId="77777777" w:rsidR="00BE4606" w:rsidRDefault="00BE4606" w:rsidP="00F92DC9">
      <w:pPr>
        <w:rPr>
          <w:sz w:val="20"/>
          <w:szCs w:val="20"/>
        </w:rPr>
      </w:pPr>
    </w:p>
    <w:p w14:paraId="616DF73B" w14:textId="77777777" w:rsidR="00F92DC9" w:rsidRDefault="00F92DC9" w:rsidP="00F92DC9">
      <w:pPr>
        <w:rPr>
          <w:sz w:val="20"/>
          <w:szCs w:val="20"/>
        </w:rPr>
      </w:pPr>
    </w:p>
    <w:p w14:paraId="52B27051" w14:textId="77777777" w:rsidR="00F92DC9" w:rsidRPr="00F92DC9" w:rsidRDefault="00F92DC9" w:rsidP="00F92DC9">
      <w:pPr>
        <w:spacing w:line="240" w:lineRule="atLeast"/>
        <w:rPr>
          <w:rFonts w:eastAsia="Times New Roman" w:cs="Arial"/>
          <w:color w:val="606060"/>
          <w:sz w:val="20"/>
          <w:szCs w:val="20"/>
        </w:rPr>
      </w:pPr>
      <w:r w:rsidRPr="00F92DC9">
        <w:rPr>
          <w:rFonts w:eastAsia="Times New Roman" w:cs="Arial"/>
          <w:b/>
          <w:bCs/>
          <w:color w:val="606060"/>
          <w:sz w:val="20"/>
          <w:szCs w:val="20"/>
        </w:rPr>
        <w:t>References</w:t>
      </w:r>
    </w:p>
    <w:p w14:paraId="228BC41F" w14:textId="77777777" w:rsidR="00F92DC9" w:rsidRDefault="00F92DC9" w:rsidP="00F92DC9">
      <w:pPr>
        <w:pStyle w:val="ListParagraph"/>
        <w:numPr>
          <w:ilvl w:val="0"/>
          <w:numId w:val="10"/>
        </w:numPr>
        <w:spacing w:before="75" w:after="75" w:line="300" w:lineRule="atLeast"/>
        <w:rPr>
          <w:rFonts w:cs="Arial"/>
          <w:color w:val="606060"/>
          <w:sz w:val="20"/>
          <w:szCs w:val="20"/>
        </w:rPr>
      </w:pPr>
      <w:r w:rsidRPr="00F92DC9">
        <w:rPr>
          <w:rFonts w:cs="Arial"/>
          <w:color w:val="606060"/>
          <w:sz w:val="20"/>
          <w:szCs w:val="20"/>
        </w:rPr>
        <w:t xml:space="preserve">Mobile </w:t>
      </w:r>
      <w:proofErr w:type="spellStart"/>
      <w:r w:rsidRPr="00F92DC9">
        <w:rPr>
          <w:rFonts w:cs="Arial"/>
          <w:color w:val="606060"/>
          <w:sz w:val="20"/>
          <w:szCs w:val="20"/>
        </w:rPr>
        <w:t>M</w:t>
      </w:r>
      <w:r>
        <w:rPr>
          <w:rFonts w:cs="Arial"/>
          <w:color w:val="606060"/>
          <w:sz w:val="20"/>
          <w:szCs w:val="20"/>
        </w:rPr>
        <w:t>edicards</w:t>
      </w:r>
      <w:proofErr w:type="spellEnd"/>
      <w:r>
        <w:rPr>
          <w:rFonts w:cs="Arial"/>
          <w:color w:val="606060"/>
          <w:sz w:val="20"/>
          <w:szCs w:val="20"/>
        </w:rPr>
        <w:t xml:space="preserve">: Immunization Handouts </w:t>
      </w:r>
      <w:hyperlink r:id="rId7" w:history="1">
        <w:r w:rsidRPr="0049329E">
          <w:rPr>
            <w:rStyle w:val="Hyperlink"/>
            <w:rFonts w:cs="Arial"/>
            <w:sz w:val="20"/>
            <w:szCs w:val="20"/>
          </w:rPr>
          <w:t>http://tusk.tufts.edu/view/content/Medical/3052/2035243</w:t>
        </w:r>
      </w:hyperlink>
    </w:p>
    <w:p w14:paraId="66EF93EE" w14:textId="77777777" w:rsidR="00F92DC9" w:rsidRDefault="00F92DC9" w:rsidP="00F92DC9">
      <w:pPr>
        <w:pStyle w:val="ListParagraph"/>
        <w:numPr>
          <w:ilvl w:val="0"/>
          <w:numId w:val="10"/>
        </w:numPr>
        <w:spacing w:before="75" w:after="75" w:line="300" w:lineRule="atLeast"/>
        <w:rPr>
          <w:rFonts w:cs="Arial"/>
          <w:color w:val="606060"/>
          <w:sz w:val="20"/>
          <w:szCs w:val="20"/>
        </w:rPr>
      </w:pPr>
      <w:r>
        <w:rPr>
          <w:rFonts w:cs="Arial"/>
          <w:color w:val="606060"/>
          <w:sz w:val="20"/>
          <w:szCs w:val="20"/>
        </w:rPr>
        <w:t xml:space="preserve">CDC Vaccination Schedule </w:t>
      </w:r>
      <w:hyperlink r:id="rId8" w:history="1">
        <w:r w:rsidRPr="0049329E">
          <w:rPr>
            <w:rStyle w:val="Hyperlink"/>
            <w:rFonts w:cs="Arial"/>
            <w:sz w:val="20"/>
            <w:szCs w:val="20"/>
          </w:rPr>
          <w:t>https://www.cdc.gov/vaccines/schedules/hcp/imz/child-adolescent.html</w:t>
        </w:r>
      </w:hyperlink>
    </w:p>
    <w:p w14:paraId="100AF3EC" w14:textId="77777777" w:rsidR="00F92DC9" w:rsidRDefault="00F92DC9" w:rsidP="00F92DC9">
      <w:pPr>
        <w:pStyle w:val="ListParagraph"/>
        <w:numPr>
          <w:ilvl w:val="0"/>
          <w:numId w:val="10"/>
        </w:numPr>
        <w:spacing w:before="75" w:after="75" w:line="300" w:lineRule="atLeast"/>
        <w:rPr>
          <w:rFonts w:cs="Arial"/>
          <w:color w:val="606060"/>
          <w:sz w:val="20"/>
          <w:szCs w:val="20"/>
        </w:rPr>
      </w:pPr>
      <w:r w:rsidRPr="00F92DC9">
        <w:rPr>
          <w:rFonts w:cs="Arial"/>
          <w:color w:val="606060"/>
          <w:sz w:val="20"/>
          <w:szCs w:val="20"/>
        </w:rPr>
        <w:t>Healy, CM and Pickering, LK. How to Communicate with Vaccine Hesitant Parent</w:t>
      </w:r>
      <w:r>
        <w:rPr>
          <w:rFonts w:cs="Arial"/>
          <w:color w:val="606060"/>
          <w:sz w:val="20"/>
          <w:szCs w:val="20"/>
        </w:rPr>
        <w:t>s. Pediatrics. 2011;127; S127.</w:t>
      </w:r>
    </w:p>
    <w:p w14:paraId="0F3C4BC6" w14:textId="77777777" w:rsidR="00F92DC9" w:rsidRDefault="00F92DC9" w:rsidP="00F92DC9">
      <w:pPr>
        <w:pStyle w:val="ListParagraph"/>
        <w:numPr>
          <w:ilvl w:val="0"/>
          <w:numId w:val="10"/>
        </w:numPr>
        <w:spacing w:before="75" w:after="75" w:line="300" w:lineRule="atLeast"/>
        <w:rPr>
          <w:rFonts w:cs="Arial"/>
          <w:color w:val="606060"/>
          <w:sz w:val="20"/>
          <w:szCs w:val="20"/>
        </w:rPr>
      </w:pPr>
      <w:r w:rsidRPr="00F92DC9">
        <w:rPr>
          <w:rFonts w:cs="Arial"/>
          <w:color w:val="606060"/>
          <w:sz w:val="20"/>
          <w:szCs w:val="20"/>
        </w:rPr>
        <w:t xml:space="preserve">Gust, DA et al. Parents with Doubts about Vaccines: Which Vaccines and Reasons </w:t>
      </w:r>
      <w:r>
        <w:rPr>
          <w:rFonts w:cs="Arial"/>
          <w:color w:val="606060"/>
          <w:sz w:val="20"/>
          <w:szCs w:val="20"/>
        </w:rPr>
        <w:t>Why. Pediatrics. 2008;122;718.</w:t>
      </w:r>
    </w:p>
    <w:p w14:paraId="1733B6C3" w14:textId="77777777" w:rsidR="00F92DC9" w:rsidRDefault="00F92DC9" w:rsidP="00F92DC9">
      <w:pPr>
        <w:pStyle w:val="ListParagraph"/>
        <w:numPr>
          <w:ilvl w:val="0"/>
          <w:numId w:val="10"/>
        </w:numPr>
        <w:spacing w:before="75" w:after="75" w:line="300" w:lineRule="atLeast"/>
        <w:rPr>
          <w:rFonts w:cs="Arial"/>
          <w:color w:val="606060"/>
          <w:sz w:val="20"/>
          <w:szCs w:val="20"/>
        </w:rPr>
      </w:pPr>
      <w:r w:rsidRPr="00F92DC9">
        <w:rPr>
          <w:rFonts w:cs="Arial"/>
          <w:color w:val="606060"/>
          <w:sz w:val="20"/>
          <w:szCs w:val="20"/>
        </w:rPr>
        <w:t xml:space="preserve">Opel </w:t>
      </w:r>
      <w:proofErr w:type="spellStart"/>
      <w:r w:rsidRPr="00F92DC9">
        <w:rPr>
          <w:rFonts w:cs="Arial"/>
          <w:color w:val="606060"/>
          <w:sz w:val="20"/>
          <w:szCs w:val="20"/>
        </w:rPr>
        <w:t>Dj</w:t>
      </w:r>
      <w:proofErr w:type="spellEnd"/>
      <w:r w:rsidRPr="00F92DC9">
        <w:rPr>
          <w:rFonts w:cs="Arial"/>
          <w:color w:val="606060"/>
          <w:sz w:val="20"/>
          <w:szCs w:val="20"/>
        </w:rPr>
        <w:t xml:space="preserve"> et al. The architecture of provider-parent vaccine discussions at health supervision visi</w:t>
      </w:r>
      <w:r>
        <w:rPr>
          <w:rFonts w:cs="Arial"/>
          <w:color w:val="606060"/>
          <w:sz w:val="20"/>
          <w:szCs w:val="20"/>
        </w:rPr>
        <w:t xml:space="preserve">ts. Pediatrics. </w:t>
      </w:r>
      <w:proofErr w:type="gramStart"/>
      <w:r>
        <w:rPr>
          <w:rFonts w:cs="Arial"/>
          <w:color w:val="606060"/>
          <w:sz w:val="20"/>
          <w:szCs w:val="20"/>
        </w:rPr>
        <w:t>2013;132:1037</w:t>
      </w:r>
      <w:proofErr w:type="gramEnd"/>
      <w:r>
        <w:rPr>
          <w:rFonts w:cs="Arial"/>
          <w:color w:val="606060"/>
          <w:sz w:val="20"/>
          <w:szCs w:val="20"/>
        </w:rPr>
        <w:t>.</w:t>
      </w:r>
    </w:p>
    <w:p w14:paraId="35F7036C" w14:textId="77777777" w:rsidR="00F92DC9" w:rsidRDefault="00F92DC9" w:rsidP="00F92DC9">
      <w:pPr>
        <w:pStyle w:val="ListParagraph"/>
        <w:numPr>
          <w:ilvl w:val="0"/>
          <w:numId w:val="10"/>
        </w:numPr>
        <w:spacing w:before="75" w:after="75" w:line="300" w:lineRule="atLeast"/>
        <w:rPr>
          <w:rFonts w:cs="Arial"/>
          <w:color w:val="606060"/>
          <w:sz w:val="20"/>
          <w:szCs w:val="20"/>
        </w:rPr>
      </w:pPr>
      <w:proofErr w:type="spellStart"/>
      <w:r w:rsidRPr="00F92DC9">
        <w:rPr>
          <w:rFonts w:cs="Arial"/>
          <w:color w:val="606060"/>
          <w:sz w:val="20"/>
          <w:szCs w:val="20"/>
        </w:rPr>
        <w:t>Henrikson</w:t>
      </w:r>
      <w:proofErr w:type="spellEnd"/>
      <w:r w:rsidRPr="00F92DC9">
        <w:rPr>
          <w:rFonts w:cs="Arial"/>
          <w:color w:val="606060"/>
          <w:sz w:val="20"/>
          <w:szCs w:val="20"/>
        </w:rPr>
        <w:t>, NB et al. Physician communication training and parental vaccine hesitancy: a random</w:t>
      </w:r>
      <w:r>
        <w:rPr>
          <w:rFonts w:cs="Arial"/>
          <w:color w:val="606060"/>
          <w:sz w:val="20"/>
          <w:szCs w:val="20"/>
        </w:rPr>
        <w:t>ized trial. Pediatrics. 2015</w:t>
      </w:r>
    </w:p>
    <w:p w14:paraId="604B22FE" w14:textId="77777777" w:rsidR="00F92DC9" w:rsidRPr="00F92DC9" w:rsidRDefault="00F92DC9" w:rsidP="00F92DC9">
      <w:pPr>
        <w:pStyle w:val="ListParagraph"/>
        <w:numPr>
          <w:ilvl w:val="0"/>
          <w:numId w:val="10"/>
        </w:numPr>
        <w:spacing w:before="75" w:after="75" w:line="300" w:lineRule="atLeast"/>
        <w:rPr>
          <w:rFonts w:cs="Arial"/>
          <w:color w:val="606060"/>
          <w:sz w:val="20"/>
          <w:szCs w:val="20"/>
        </w:rPr>
      </w:pPr>
      <w:r w:rsidRPr="00F92DC9">
        <w:rPr>
          <w:rFonts w:cs="Arial"/>
          <w:color w:val="606060"/>
          <w:sz w:val="20"/>
          <w:szCs w:val="20"/>
        </w:rPr>
        <w:t>Dube, E et al. Strategies intended to address vaccine hesitancy: review of published reviews. Vaccine. 2015</w:t>
      </w:r>
    </w:p>
    <w:p w14:paraId="3D8A6588" w14:textId="77777777" w:rsidR="00F92DC9" w:rsidRPr="00F92DC9" w:rsidRDefault="00F92DC9" w:rsidP="00F92DC9">
      <w:pPr>
        <w:rPr>
          <w:sz w:val="20"/>
          <w:szCs w:val="20"/>
        </w:rPr>
      </w:pPr>
    </w:p>
    <w:p w14:paraId="0165E488" w14:textId="77777777" w:rsidR="00BE4606" w:rsidRPr="00F92DC9" w:rsidRDefault="00BE4606" w:rsidP="00F92DC9">
      <w:pPr>
        <w:rPr>
          <w:sz w:val="20"/>
          <w:szCs w:val="20"/>
        </w:rPr>
      </w:pPr>
    </w:p>
    <w:p w14:paraId="3CFCEBE1" w14:textId="77777777" w:rsidR="00BE4606" w:rsidRPr="00F92DC9" w:rsidRDefault="00BE4606" w:rsidP="00F92DC9">
      <w:pPr>
        <w:rPr>
          <w:sz w:val="20"/>
          <w:szCs w:val="20"/>
        </w:rPr>
      </w:pPr>
    </w:p>
    <w:p w14:paraId="4DF1F29A" w14:textId="77777777" w:rsidR="00BE4606" w:rsidRPr="00F92DC9" w:rsidRDefault="00BE4606" w:rsidP="00F92DC9">
      <w:pPr>
        <w:rPr>
          <w:sz w:val="20"/>
          <w:szCs w:val="20"/>
        </w:rPr>
      </w:pPr>
    </w:p>
    <w:p w14:paraId="55F4D769" w14:textId="77777777" w:rsidR="00BE4606" w:rsidRPr="00F92DC9" w:rsidRDefault="00BE4606" w:rsidP="00F92DC9">
      <w:pPr>
        <w:rPr>
          <w:sz w:val="20"/>
          <w:szCs w:val="20"/>
        </w:rPr>
      </w:pPr>
    </w:p>
    <w:p w14:paraId="2CF8AC57" w14:textId="77777777" w:rsidR="00BE4606" w:rsidRPr="00F92DC9" w:rsidRDefault="00BE4606" w:rsidP="00F92DC9">
      <w:pPr>
        <w:rPr>
          <w:sz w:val="20"/>
          <w:szCs w:val="20"/>
        </w:rPr>
      </w:pPr>
    </w:p>
    <w:p w14:paraId="5AF84D3C" w14:textId="77777777" w:rsidR="00BE4606" w:rsidRPr="00F92DC9" w:rsidRDefault="00BE4606" w:rsidP="00F92DC9">
      <w:pPr>
        <w:rPr>
          <w:sz w:val="20"/>
          <w:szCs w:val="20"/>
        </w:rPr>
      </w:pPr>
    </w:p>
    <w:p w14:paraId="02B7E984" w14:textId="77777777" w:rsidR="0012045E" w:rsidRPr="00F92DC9" w:rsidRDefault="00C53685" w:rsidP="00F92DC9">
      <w:pPr>
        <w:rPr>
          <w:sz w:val="20"/>
          <w:szCs w:val="20"/>
        </w:rPr>
      </w:pPr>
    </w:p>
    <w:sectPr w:rsidR="0012045E" w:rsidRPr="00F92DC9" w:rsidSect="00BE4606">
      <w:pgSz w:w="12240" w:h="15840"/>
      <w:pgMar w:top="1107" w:right="1440" w:bottom="9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541A0"/>
    <w:multiLevelType w:val="hybridMultilevel"/>
    <w:tmpl w:val="99C6C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E35D37"/>
    <w:multiLevelType w:val="multilevel"/>
    <w:tmpl w:val="7D9C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51066"/>
    <w:multiLevelType w:val="hybridMultilevel"/>
    <w:tmpl w:val="81C8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A49CB"/>
    <w:multiLevelType w:val="hybridMultilevel"/>
    <w:tmpl w:val="45E4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A04813"/>
    <w:multiLevelType w:val="hybridMultilevel"/>
    <w:tmpl w:val="9E64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E50EE"/>
    <w:multiLevelType w:val="hybridMultilevel"/>
    <w:tmpl w:val="147E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7B54A0"/>
    <w:multiLevelType w:val="hybridMultilevel"/>
    <w:tmpl w:val="A208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905B83"/>
    <w:multiLevelType w:val="hybridMultilevel"/>
    <w:tmpl w:val="E716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8137E0"/>
    <w:multiLevelType w:val="hybridMultilevel"/>
    <w:tmpl w:val="73D07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A92B41"/>
    <w:multiLevelType w:val="hybridMultilevel"/>
    <w:tmpl w:val="2862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3"/>
  </w:num>
  <w:num w:numId="6">
    <w:abstractNumId w:val="7"/>
  </w:num>
  <w:num w:numId="7">
    <w:abstractNumId w:val="8"/>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5C"/>
    <w:rsid w:val="002A7B2D"/>
    <w:rsid w:val="005C2FCB"/>
    <w:rsid w:val="00BE4606"/>
    <w:rsid w:val="00C53685"/>
    <w:rsid w:val="00CE5114"/>
    <w:rsid w:val="00CE6F5C"/>
    <w:rsid w:val="00E50BDF"/>
    <w:rsid w:val="00F92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883B6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contents">
    <w:name w:val="pagecontents"/>
    <w:basedOn w:val="Normal"/>
    <w:rsid w:val="00CE6F5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CE6F5C"/>
    <w:rPr>
      <w:color w:val="0000FF"/>
      <w:u w:val="single"/>
    </w:rPr>
  </w:style>
  <w:style w:type="paragraph" w:styleId="NormalWeb">
    <w:name w:val="Normal (Web)"/>
    <w:basedOn w:val="Normal"/>
    <w:uiPriority w:val="99"/>
    <w:semiHidden/>
    <w:unhideWhenUsed/>
    <w:rsid w:val="00CE6F5C"/>
    <w:pPr>
      <w:spacing w:before="100" w:beforeAutospacing="1" w:after="100" w:afterAutospacing="1"/>
    </w:pPr>
    <w:rPr>
      <w:rFonts w:ascii="Times New Roman" w:hAnsi="Times New Roman" w:cs="Times New Roman"/>
    </w:rPr>
  </w:style>
  <w:style w:type="character" w:customStyle="1" w:styleId="pagecontents1">
    <w:name w:val="pagecontents1"/>
    <w:basedOn w:val="DefaultParagraphFont"/>
    <w:rsid w:val="00CE6F5C"/>
  </w:style>
  <w:style w:type="character" w:styleId="Strong">
    <w:name w:val="Strong"/>
    <w:basedOn w:val="DefaultParagraphFont"/>
    <w:uiPriority w:val="22"/>
    <w:qFormat/>
    <w:rsid w:val="00BE4606"/>
    <w:rPr>
      <w:b/>
      <w:bCs/>
    </w:rPr>
  </w:style>
  <w:style w:type="paragraph" w:styleId="ListParagraph">
    <w:name w:val="List Paragraph"/>
    <w:basedOn w:val="Normal"/>
    <w:uiPriority w:val="34"/>
    <w:qFormat/>
    <w:rsid w:val="00BE4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00330">
      <w:bodyDiv w:val="1"/>
      <w:marLeft w:val="0"/>
      <w:marRight w:val="0"/>
      <w:marTop w:val="0"/>
      <w:marBottom w:val="0"/>
      <w:divBdr>
        <w:top w:val="none" w:sz="0" w:space="0" w:color="auto"/>
        <w:left w:val="none" w:sz="0" w:space="0" w:color="auto"/>
        <w:bottom w:val="none" w:sz="0" w:space="0" w:color="auto"/>
        <w:right w:val="none" w:sz="0" w:space="0" w:color="auto"/>
      </w:divBdr>
    </w:div>
    <w:div w:id="100033759">
      <w:bodyDiv w:val="1"/>
      <w:marLeft w:val="0"/>
      <w:marRight w:val="0"/>
      <w:marTop w:val="0"/>
      <w:marBottom w:val="0"/>
      <w:divBdr>
        <w:top w:val="none" w:sz="0" w:space="0" w:color="auto"/>
        <w:left w:val="none" w:sz="0" w:space="0" w:color="auto"/>
        <w:bottom w:val="none" w:sz="0" w:space="0" w:color="auto"/>
        <w:right w:val="none" w:sz="0" w:space="0" w:color="auto"/>
      </w:divBdr>
    </w:div>
    <w:div w:id="163593920">
      <w:bodyDiv w:val="1"/>
      <w:marLeft w:val="0"/>
      <w:marRight w:val="0"/>
      <w:marTop w:val="0"/>
      <w:marBottom w:val="0"/>
      <w:divBdr>
        <w:top w:val="none" w:sz="0" w:space="0" w:color="auto"/>
        <w:left w:val="none" w:sz="0" w:space="0" w:color="auto"/>
        <w:bottom w:val="none" w:sz="0" w:space="0" w:color="auto"/>
        <w:right w:val="none" w:sz="0" w:space="0" w:color="auto"/>
      </w:divBdr>
    </w:div>
    <w:div w:id="319240649">
      <w:bodyDiv w:val="1"/>
      <w:marLeft w:val="0"/>
      <w:marRight w:val="0"/>
      <w:marTop w:val="0"/>
      <w:marBottom w:val="0"/>
      <w:divBdr>
        <w:top w:val="none" w:sz="0" w:space="0" w:color="auto"/>
        <w:left w:val="none" w:sz="0" w:space="0" w:color="auto"/>
        <w:bottom w:val="none" w:sz="0" w:space="0" w:color="auto"/>
        <w:right w:val="none" w:sz="0" w:space="0" w:color="auto"/>
      </w:divBdr>
    </w:div>
    <w:div w:id="424493637">
      <w:bodyDiv w:val="1"/>
      <w:marLeft w:val="0"/>
      <w:marRight w:val="0"/>
      <w:marTop w:val="0"/>
      <w:marBottom w:val="0"/>
      <w:divBdr>
        <w:top w:val="none" w:sz="0" w:space="0" w:color="auto"/>
        <w:left w:val="none" w:sz="0" w:space="0" w:color="auto"/>
        <w:bottom w:val="none" w:sz="0" w:space="0" w:color="auto"/>
        <w:right w:val="none" w:sz="0" w:space="0" w:color="auto"/>
      </w:divBdr>
    </w:div>
    <w:div w:id="442262990">
      <w:bodyDiv w:val="1"/>
      <w:marLeft w:val="0"/>
      <w:marRight w:val="0"/>
      <w:marTop w:val="0"/>
      <w:marBottom w:val="0"/>
      <w:divBdr>
        <w:top w:val="none" w:sz="0" w:space="0" w:color="auto"/>
        <w:left w:val="none" w:sz="0" w:space="0" w:color="auto"/>
        <w:bottom w:val="none" w:sz="0" w:space="0" w:color="auto"/>
        <w:right w:val="none" w:sz="0" w:space="0" w:color="auto"/>
      </w:divBdr>
    </w:div>
    <w:div w:id="502815767">
      <w:bodyDiv w:val="1"/>
      <w:marLeft w:val="0"/>
      <w:marRight w:val="0"/>
      <w:marTop w:val="0"/>
      <w:marBottom w:val="0"/>
      <w:divBdr>
        <w:top w:val="none" w:sz="0" w:space="0" w:color="auto"/>
        <w:left w:val="none" w:sz="0" w:space="0" w:color="auto"/>
        <w:bottom w:val="none" w:sz="0" w:space="0" w:color="auto"/>
        <w:right w:val="none" w:sz="0" w:space="0" w:color="auto"/>
      </w:divBdr>
    </w:div>
    <w:div w:id="664938551">
      <w:bodyDiv w:val="1"/>
      <w:marLeft w:val="0"/>
      <w:marRight w:val="0"/>
      <w:marTop w:val="0"/>
      <w:marBottom w:val="0"/>
      <w:divBdr>
        <w:top w:val="none" w:sz="0" w:space="0" w:color="auto"/>
        <w:left w:val="none" w:sz="0" w:space="0" w:color="auto"/>
        <w:bottom w:val="none" w:sz="0" w:space="0" w:color="auto"/>
        <w:right w:val="none" w:sz="0" w:space="0" w:color="auto"/>
      </w:divBdr>
    </w:div>
    <w:div w:id="802962908">
      <w:bodyDiv w:val="1"/>
      <w:marLeft w:val="0"/>
      <w:marRight w:val="0"/>
      <w:marTop w:val="0"/>
      <w:marBottom w:val="0"/>
      <w:divBdr>
        <w:top w:val="none" w:sz="0" w:space="0" w:color="auto"/>
        <w:left w:val="none" w:sz="0" w:space="0" w:color="auto"/>
        <w:bottom w:val="none" w:sz="0" w:space="0" w:color="auto"/>
        <w:right w:val="none" w:sz="0" w:space="0" w:color="auto"/>
      </w:divBdr>
    </w:div>
    <w:div w:id="878274973">
      <w:bodyDiv w:val="1"/>
      <w:marLeft w:val="0"/>
      <w:marRight w:val="0"/>
      <w:marTop w:val="0"/>
      <w:marBottom w:val="0"/>
      <w:divBdr>
        <w:top w:val="none" w:sz="0" w:space="0" w:color="auto"/>
        <w:left w:val="none" w:sz="0" w:space="0" w:color="auto"/>
        <w:bottom w:val="none" w:sz="0" w:space="0" w:color="auto"/>
        <w:right w:val="none" w:sz="0" w:space="0" w:color="auto"/>
      </w:divBdr>
    </w:div>
    <w:div w:id="1047991792">
      <w:bodyDiv w:val="1"/>
      <w:marLeft w:val="0"/>
      <w:marRight w:val="0"/>
      <w:marTop w:val="0"/>
      <w:marBottom w:val="0"/>
      <w:divBdr>
        <w:top w:val="none" w:sz="0" w:space="0" w:color="auto"/>
        <w:left w:val="none" w:sz="0" w:space="0" w:color="auto"/>
        <w:bottom w:val="none" w:sz="0" w:space="0" w:color="auto"/>
        <w:right w:val="none" w:sz="0" w:space="0" w:color="auto"/>
      </w:divBdr>
    </w:div>
    <w:div w:id="1075781409">
      <w:bodyDiv w:val="1"/>
      <w:marLeft w:val="0"/>
      <w:marRight w:val="0"/>
      <w:marTop w:val="0"/>
      <w:marBottom w:val="0"/>
      <w:divBdr>
        <w:top w:val="none" w:sz="0" w:space="0" w:color="auto"/>
        <w:left w:val="none" w:sz="0" w:space="0" w:color="auto"/>
        <w:bottom w:val="none" w:sz="0" w:space="0" w:color="auto"/>
        <w:right w:val="none" w:sz="0" w:space="0" w:color="auto"/>
      </w:divBdr>
    </w:div>
    <w:div w:id="1141195726">
      <w:bodyDiv w:val="1"/>
      <w:marLeft w:val="0"/>
      <w:marRight w:val="0"/>
      <w:marTop w:val="0"/>
      <w:marBottom w:val="0"/>
      <w:divBdr>
        <w:top w:val="none" w:sz="0" w:space="0" w:color="auto"/>
        <w:left w:val="none" w:sz="0" w:space="0" w:color="auto"/>
        <w:bottom w:val="none" w:sz="0" w:space="0" w:color="auto"/>
        <w:right w:val="none" w:sz="0" w:space="0" w:color="auto"/>
      </w:divBdr>
    </w:div>
    <w:div w:id="1350722028">
      <w:bodyDiv w:val="1"/>
      <w:marLeft w:val="0"/>
      <w:marRight w:val="0"/>
      <w:marTop w:val="0"/>
      <w:marBottom w:val="0"/>
      <w:divBdr>
        <w:top w:val="none" w:sz="0" w:space="0" w:color="auto"/>
        <w:left w:val="none" w:sz="0" w:space="0" w:color="auto"/>
        <w:bottom w:val="none" w:sz="0" w:space="0" w:color="auto"/>
        <w:right w:val="none" w:sz="0" w:space="0" w:color="auto"/>
      </w:divBdr>
    </w:div>
    <w:div w:id="1417478586">
      <w:bodyDiv w:val="1"/>
      <w:marLeft w:val="0"/>
      <w:marRight w:val="0"/>
      <w:marTop w:val="0"/>
      <w:marBottom w:val="0"/>
      <w:divBdr>
        <w:top w:val="none" w:sz="0" w:space="0" w:color="auto"/>
        <w:left w:val="none" w:sz="0" w:space="0" w:color="auto"/>
        <w:bottom w:val="none" w:sz="0" w:space="0" w:color="auto"/>
        <w:right w:val="none" w:sz="0" w:space="0" w:color="auto"/>
      </w:divBdr>
    </w:div>
    <w:div w:id="1597126874">
      <w:bodyDiv w:val="1"/>
      <w:marLeft w:val="0"/>
      <w:marRight w:val="0"/>
      <w:marTop w:val="0"/>
      <w:marBottom w:val="0"/>
      <w:divBdr>
        <w:top w:val="none" w:sz="0" w:space="0" w:color="auto"/>
        <w:left w:val="none" w:sz="0" w:space="0" w:color="auto"/>
        <w:bottom w:val="none" w:sz="0" w:space="0" w:color="auto"/>
        <w:right w:val="none" w:sz="0" w:space="0" w:color="auto"/>
      </w:divBdr>
    </w:div>
    <w:div w:id="1826048200">
      <w:bodyDiv w:val="1"/>
      <w:marLeft w:val="0"/>
      <w:marRight w:val="0"/>
      <w:marTop w:val="0"/>
      <w:marBottom w:val="0"/>
      <w:divBdr>
        <w:top w:val="none" w:sz="0" w:space="0" w:color="auto"/>
        <w:left w:val="none" w:sz="0" w:space="0" w:color="auto"/>
        <w:bottom w:val="none" w:sz="0" w:space="0" w:color="auto"/>
        <w:right w:val="none" w:sz="0" w:space="0" w:color="auto"/>
      </w:divBdr>
    </w:div>
    <w:div w:id="1840731775">
      <w:bodyDiv w:val="1"/>
      <w:marLeft w:val="0"/>
      <w:marRight w:val="0"/>
      <w:marTop w:val="0"/>
      <w:marBottom w:val="0"/>
      <w:divBdr>
        <w:top w:val="none" w:sz="0" w:space="0" w:color="auto"/>
        <w:left w:val="none" w:sz="0" w:space="0" w:color="auto"/>
        <w:bottom w:val="none" w:sz="0" w:space="0" w:color="auto"/>
        <w:right w:val="none" w:sz="0" w:space="0" w:color="auto"/>
      </w:divBdr>
    </w:div>
    <w:div w:id="1895769262">
      <w:bodyDiv w:val="1"/>
      <w:marLeft w:val="0"/>
      <w:marRight w:val="0"/>
      <w:marTop w:val="0"/>
      <w:marBottom w:val="0"/>
      <w:divBdr>
        <w:top w:val="none" w:sz="0" w:space="0" w:color="auto"/>
        <w:left w:val="none" w:sz="0" w:space="0" w:color="auto"/>
        <w:bottom w:val="none" w:sz="0" w:space="0" w:color="auto"/>
        <w:right w:val="none" w:sz="0" w:space="0" w:color="auto"/>
      </w:divBdr>
    </w:div>
    <w:div w:id="1967159625">
      <w:bodyDiv w:val="1"/>
      <w:marLeft w:val="0"/>
      <w:marRight w:val="0"/>
      <w:marTop w:val="0"/>
      <w:marBottom w:val="0"/>
      <w:divBdr>
        <w:top w:val="none" w:sz="0" w:space="0" w:color="auto"/>
        <w:left w:val="none" w:sz="0" w:space="0" w:color="auto"/>
        <w:bottom w:val="none" w:sz="0" w:space="0" w:color="auto"/>
        <w:right w:val="none" w:sz="0" w:space="0" w:color="auto"/>
      </w:divBdr>
    </w:div>
    <w:div w:id="1979870606">
      <w:bodyDiv w:val="1"/>
      <w:marLeft w:val="0"/>
      <w:marRight w:val="0"/>
      <w:marTop w:val="0"/>
      <w:marBottom w:val="0"/>
      <w:divBdr>
        <w:top w:val="none" w:sz="0" w:space="0" w:color="auto"/>
        <w:left w:val="none" w:sz="0" w:space="0" w:color="auto"/>
        <w:bottom w:val="none" w:sz="0" w:space="0" w:color="auto"/>
        <w:right w:val="none" w:sz="0" w:space="0" w:color="auto"/>
      </w:divBdr>
    </w:div>
    <w:div w:id="2065980448">
      <w:bodyDiv w:val="1"/>
      <w:marLeft w:val="0"/>
      <w:marRight w:val="0"/>
      <w:marTop w:val="0"/>
      <w:marBottom w:val="0"/>
      <w:divBdr>
        <w:top w:val="none" w:sz="0" w:space="0" w:color="auto"/>
        <w:left w:val="none" w:sz="0" w:space="0" w:color="auto"/>
        <w:bottom w:val="none" w:sz="0" w:space="0" w:color="auto"/>
        <w:right w:val="none" w:sz="0" w:space="0" w:color="auto"/>
      </w:divBdr>
    </w:div>
    <w:div w:id="2123916138">
      <w:bodyDiv w:val="1"/>
      <w:marLeft w:val="0"/>
      <w:marRight w:val="0"/>
      <w:marTop w:val="0"/>
      <w:marBottom w:val="0"/>
      <w:divBdr>
        <w:top w:val="none" w:sz="0" w:space="0" w:color="auto"/>
        <w:left w:val="none" w:sz="0" w:space="0" w:color="auto"/>
        <w:bottom w:val="none" w:sz="0" w:space="0" w:color="auto"/>
        <w:right w:val="none" w:sz="0" w:space="0" w:color="auto"/>
      </w:divBdr>
      <w:divsChild>
        <w:div w:id="3572028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vaccines/schedules/hcp/imz/child-adolescent.html" TargetMode="External"/><Relationship Id="rId3" Type="http://schemas.openxmlformats.org/officeDocument/2006/relationships/settings" Target="settings.xml"/><Relationship Id="rId7" Type="http://schemas.openxmlformats.org/officeDocument/2006/relationships/hyperlink" Target="http://tusk.tufts.edu/view/content/Medical/3052/20352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tusk.tufts.edu/view/content/Medical/3052/20352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STFM_Staff_Mac</cp:lastModifiedBy>
  <cp:revision>2</cp:revision>
  <dcterms:created xsi:type="dcterms:W3CDTF">2020-01-24T21:43:00Z</dcterms:created>
  <dcterms:modified xsi:type="dcterms:W3CDTF">2020-01-24T21:43:00Z</dcterms:modified>
</cp:coreProperties>
</file>