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3A78C" w14:textId="49154CCF" w:rsidR="008D6F7A" w:rsidRDefault="008D6F7A" w:rsidP="008938A9">
      <w:pPr>
        <w:jc w:val="center"/>
        <w:rPr>
          <w:rFonts w:eastAsia="Times New Roman" w:cs="Times New Roman"/>
          <w:b/>
          <w:sz w:val="20"/>
          <w:szCs w:val="20"/>
        </w:rPr>
      </w:pPr>
      <w:bookmarkStart w:id="0" w:name="_GoBack"/>
      <w:r w:rsidRPr="009F073C">
        <w:rPr>
          <w:sz w:val="28"/>
          <w:szCs w:val="28"/>
        </w:rPr>
        <w:t>National Clerkship Curriculum</w:t>
      </w:r>
    </w:p>
    <w:bookmarkEnd w:id="0"/>
    <w:p w14:paraId="7704538A" w14:textId="77777777" w:rsidR="008D6F7A" w:rsidRDefault="008D6F7A" w:rsidP="00F1741B">
      <w:pPr>
        <w:rPr>
          <w:rFonts w:eastAsia="Times New Roman" w:cs="Times New Roman"/>
          <w:b/>
          <w:sz w:val="20"/>
          <w:szCs w:val="20"/>
        </w:rPr>
      </w:pPr>
    </w:p>
    <w:p w14:paraId="622222A3" w14:textId="7C05BE7B" w:rsidR="00F1741B" w:rsidRPr="003253C6" w:rsidRDefault="00F1741B" w:rsidP="00F1741B">
      <w:pPr>
        <w:rPr>
          <w:rFonts w:eastAsia="Times New Roman" w:cs="Times New Roman"/>
          <w:b/>
          <w:sz w:val="20"/>
          <w:szCs w:val="20"/>
        </w:rPr>
      </w:pPr>
      <w:r w:rsidRPr="008D6F7A">
        <w:rPr>
          <w:rFonts w:eastAsia="Times New Roman" w:cs="Times New Roman"/>
          <w:b/>
          <w:bCs/>
        </w:rPr>
        <w:t>Transgender Care (Medical Student Workshop)</w:t>
      </w:r>
      <w:r w:rsidRPr="008D6F7A">
        <w:rPr>
          <w:rFonts w:eastAsia="Times New Roman" w:cs="Times New Roman"/>
          <w:b/>
          <w:bCs/>
        </w:rPr>
        <w:br/>
      </w:r>
      <w:r w:rsidRPr="00F1741B">
        <w:rPr>
          <w:rFonts w:eastAsia="Times New Roman" w:cs="Times New Roman"/>
          <w:sz w:val="20"/>
          <w:szCs w:val="20"/>
        </w:rPr>
        <w:br/>
      </w:r>
      <w:r w:rsidRPr="00F1741B">
        <w:rPr>
          <w:rFonts w:eastAsia="Times New Roman" w:cs="Times New Roman"/>
          <w:b/>
          <w:sz w:val="20"/>
          <w:szCs w:val="20"/>
        </w:rPr>
        <w:t>Curricular Focus:</w:t>
      </w:r>
    </w:p>
    <w:p w14:paraId="5297B8F5" w14:textId="77777777" w:rsidR="00F1741B" w:rsidRPr="003253C6" w:rsidRDefault="00F1741B" w:rsidP="00F1741B">
      <w:pPr>
        <w:pStyle w:val="ListParagraph"/>
        <w:numPr>
          <w:ilvl w:val="0"/>
          <w:numId w:val="7"/>
        </w:numPr>
        <w:rPr>
          <w:rFonts w:eastAsia="Times New Roman" w:cs="Times New Roman"/>
          <w:sz w:val="20"/>
          <w:szCs w:val="20"/>
        </w:rPr>
      </w:pPr>
      <w:r w:rsidRPr="003253C6">
        <w:rPr>
          <w:rFonts w:eastAsia="Times New Roman" w:cs="Times New Roman"/>
          <w:sz w:val="20"/>
          <w:szCs w:val="20"/>
        </w:rPr>
        <w:t>Core Presentations for Chronic Diseases</w:t>
      </w:r>
    </w:p>
    <w:p w14:paraId="219F5E81" w14:textId="77777777" w:rsidR="00F1741B" w:rsidRPr="003253C6" w:rsidRDefault="00F1741B" w:rsidP="00F1741B">
      <w:pPr>
        <w:pStyle w:val="ListParagraph"/>
        <w:numPr>
          <w:ilvl w:val="0"/>
          <w:numId w:val="7"/>
        </w:numPr>
        <w:rPr>
          <w:rFonts w:eastAsia="Times New Roman" w:cs="Times New Roman"/>
          <w:sz w:val="20"/>
          <w:szCs w:val="20"/>
        </w:rPr>
      </w:pPr>
      <w:r w:rsidRPr="003253C6">
        <w:rPr>
          <w:rFonts w:eastAsia="Times New Roman" w:cs="Times New Roman"/>
          <w:sz w:val="20"/>
          <w:szCs w:val="20"/>
        </w:rPr>
        <w:t xml:space="preserve">Role of Family </w:t>
      </w:r>
      <w:proofErr w:type="spellStart"/>
      <w:r w:rsidRPr="003253C6">
        <w:rPr>
          <w:rFonts w:eastAsia="Times New Roman" w:cs="Times New Roman"/>
          <w:sz w:val="20"/>
          <w:szCs w:val="20"/>
        </w:rPr>
        <w:t>Medicin</w:t>
      </w:r>
      <w:proofErr w:type="spellEnd"/>
      <w:r w:rsidRPr="003253C6">
        <w:rPr>
          <w:rFonts w:eastAsia="Times New Roman" w:cs="Times New Roman"/>
          <w:sz w:val="20"/>
          <w:szCs w:val="20"/>
        </w:rPr>
        <w:t>​e</w:t>
      </w:r>
    </w:p>
    <w:p w14:paraId="79F949FC" w14:textId="77777777" w:rsidR="00F1741B" w:rsidRPr="003253C6" w:rsidRDefault="00F1741B" w:rsidP="00F1741B">
      <w:pPr>
        <w:pStyle w:val="ListParagraph"/>
        <w:numPr>
          <w:ilvl w:val="0"/>
          <w:numId w:val="7"/>
        </w:numPr>
        <w:rPr>
          <w:rFonts w:eastAsia="Times New Roman" w:cs="Times New Roman"/>
          <w:sz w:val="20"/>
          <w:szCs w:val="20"/>
        </w:rPr>
      </w:pPr>
      <w:r w:rsidRPr="003253C6">
        <w:rPr>
          <w:rFonts w:eastAsia="Times New Roman" w:cs="Times New Roman"/>
          <w:sz w:val="20"/>
          <w:szCs w:val="20"/>
        </w:rPr>
        <w:t>Health Promotion &amp; Disease Prevention</w:t>
      </w:r>
    </w:p>
    <w:p w14:paraId="6B98418E" w14:textId="77777777" w:rsidR="00F1741B" w:rsidRPr="003253C6" w:rsidRDefault="00F1741B" w:rsidP="00F1741B">
      <w:pPr>
        <w:rPr>
          <w:rFonts w:eastAsia="Times New Roman" w:cs="Times New Roman"/>
          <w:b/>
          <w:bCs/>
          <w:sz w:val="20"/>
          <w:szCs w:val="20"/>
        </w:rPr>
      </w:pPr>
      <w:r w:rsidRPr="00F1741B">
        <w:rPr>
          <w:rFonts w:eastAsia="Times New Roman" w:cs="Times New Roman"/>
          <w:b/>
          <w:bCs/>
          <w:sz w:val="20"/>
          <w:szCs w:val="20"/>
        </w:rPr>
        <w:t>​</w:t>
      </w:r>
    </w:p>
    <w:p w14:paraId="4B17CBE9" w14:textId="77777777" w:rsidR="00F1741B" w:rsidRPr="00F1741B" w:rsidRDefault="00F1741B" w:rsidP="00F1741B">
      <w:pPr>
        <w:rPr>
          <w:rFonts w:eastAsia="Times New Roman" w:cs="Times New Roman"/>
          <w:sz w:val="20"/>
          <w:szCs w:val="20"/>
        </w:rPr>
      </w:pPr>
      <w:r w:rsidRPr="00F1741B">
        <w:rPr>
          <w:rFonts w:eastAsia="Times New Roman" w:cs="Times New Roman"/>
          <w:b/>
          <w:bCs/>
          <w:sz w:val="20"/>
          <w:szCs w:val="20"/>
        </w:rPr>
        <w:t>Description:</w:t>
      </w:r>
    </w:p>
    <w:p w14:paraId="10E7DDA6" w14:textId="77777777" w:rsidR="00F1741B" w:rsidRPr="00F1741B" w:rsidRDefault="00F1741B" w:rsidP="00F1741B">
      <w:pPr>
        <w:rPr>
          <w:rFonts w:eastAsia="Times New Roman" w:cs="Times New Roman"/>
          <w:sz w:val="20"/>
          <w:szCs w:val="20"/>
        </w:rPr>
      </w:pPr>
      <w:r w:rsidRPr="00F1741B">
        <w:rPr>
          <w:rFonts w:eastAsia="Times New Roman" w:cs="Times New Roman"/>
          <w:sz w:val="20"/>
          <w:szCs w:val="20"/>
        </w:rPr>
        <w:t xml:space="preserve">This interactive workshop, presented at STFM MSE 2018, includes a discussion of the importance of addressing LGBTQIA healthcare disparities and allows students to practice taking a sensitive sexual history and work through a case in groups to learn the standards to consider affirmative care options for individuals seeking gender affirmation (including socialization, hormones, procedural and surgical options). It is meant to expand the basic science knowledge of gender identity and early clinical skills of taking a history to a more patient-centered approach for gender diverse individuals. It is given during a four-week required Family Medicine Clerkship on a monthly basis to a large group of 10-25 clinical medical students at a time (2nd, 3rd or 4th years in our curriculum at Oregon Health &amp; Science University), and therefore exposes nearly all medical students to this knowledge (those at rural sites do not receive the workshop but the materials are available). The workshop has been highly rated as part of the weekly didactic activities that occur every Thursday morning during the month long </w:t>
      </w:r>
      <w:proofErr w:type="gramStart"/>
      <w:r w:rsidRPr="00F1741B">
        <w:rPr>
          <w:rFonts w:eastAsia="Times New Roman" w:cs="Times New Roman"/>
          <w:sz w:val="20"/>
          <w:szCs w:val="20"/>
        </w:rPr>
        <w:t>clerkship.​</w:t>
      </w:r>
      <w:proofErr w:type="gramEnd"/>
    </w:p>
    <w:p w14:paraId="2A2EEA45" w14:textId="77777777" w:rsidR="00F1741B" w:rsidRPr="00F1741B" w:rsidRDefault="00F1741B" w:rsidP="00F1741B">
      <w:pPr>
        <w:rPr>
          <w:rFonts w:eastAsia="Times New Roman" w:cs="Times New Roman"/>
          <w:sz w:val="20"/>
          <w:szCs w:val="20"/>
        </w:rPr>
      </w:pPr>
      <w:r w:rsidRPr="00F1741B">
        <w:rPr>
          <w:rFonts w:eastAsia="Times New Roman" w:cs="Times New Roman"/>
          <w:sz w:val="20"/>
          <w:szCs w:val="20"/>
        </w:rPr>
        <w:br/>
      </w:r>
      <w:r w:rsidRPr="00F1741B">
        <w:rPr>
          <w:rFonts w:eastAsia="Times New Roman" w:cs="Times New Roman"/>
          <w:b/>
          <w:bCs/>
          <w:sz w:val="20"/>
          <w:szCs w:val="20"/>
        </w:rPr>
        <w:t>Disclosure of Financial Relationships</w:t>
      </w:r>
      <w:r w:rsidRPr="003253C6">
        <w:rPr>
          <w:rFonts w:eastAsia="Times New Roman" w:cs="Times New Roman"/>
          <w:b/>
          <w:bCs/>
          <w:sz w:val="20"/>
          <w:szCs w:val="20"/>
        </w:rPr>
        <w:t>​: </w:t>
      </w:r>
    </w:p>
    <w:p w14:paraId="64DE1F0C" w14:textId="77777777" w:rsidR="00F1741B" w:rsidRPr="00F1741B" w:rsidRDefault="00F1741B" w:rsidP="00F1741B">
      <w:pPr>
        <w:rPr>
          <w:rFonts w:eastAsia="Times New Roman" w:cs="Times New Roman"/>
          <w:sz w:val="20"/>
          <w:szCs w:val="20"/>
        </w:rPr>
      </w:pPr>
      <w:r w:rsidRPr="003253C6">
        <w:rPr>
          <w:rFonts w:eastAsia="Times New Roman" w:cs="Times New Roman"/>
          <w:sz w:val="20"/>
          <w:szCs w:val="20"/>
        </w:rPr>
        <w:t>None​</w:t>
      </w:r>
    </w:p>
    <w:p w14:paraId="385A023A" w14:textId="77777777" w:rsidR="00F1741B" w:rsidRPr="00F1741B" w:rsidRDefault="00F1741B" w:rsidP="00F1741B">
      <w:pPr>
        <w:rPr>
          <w:rFonts w:eastAsia="Times New Roman" w:cs="Times New Roman"/>
          <w:sz w:val="20"/>
          <w:szCs w:val="20"/>
        </w:rPr>
      </w:pPr>
    </w:p>
    <w:p w14:paraId="70143000" w14:textId="52C92E15" w:rsidR="00F1741B" w:rsidRPr="00F1741B" w:rsidRDefault="00F1741B" w:rsidP="00F1741B">
      <w:pPr>
        <w:rPr>
          <w:rFonts w:eastAsia="Times New Roman" w:cs="Times New Roman"/>
          <w:sz w:val="20"/>
          <w:szCs w:val="20"/>
        </w:rPr>
      </w:pPr>
      <w:r w:rsidRPr="00F1741B">
        <w:rPr>
          <w:rFonts w:eastAsia="Times New Roman" w:cs="Times New Roman"/>
          <w:b/>
          <w:bCs/>
          <w:sz w:val="20"/>
          <w:szCs w:val="20"/>
        </w:rPr>
        <w:t>Clerkship Structure</w:t>
      </w:r>
      <w:r w:rsidRPr="00F1741B">
        <w:rPr>
          <w:rFonts w:eastAsia="Times New Roman" w:cs="Times New Roman"/>
          <w:sz w:val="20"/>
          <w:szCs w:val="20"/>
        </w:rPr>
        <w:br/>
        <w:t xml:space="preserve">We have a </w:t>
      </w:r>
      <w:r w:rsidRPr="003253C6">
        <w:rPr>
          <w:rFonts w:eastAsia="Times New Roman" w:cs="Times New Roman"/>
          <w:sz w:val="20"/>
          <w:szCs w:val="20"/>
        </w:rPr>
        <w:t>​4-​</w:t>
      </w:r>
      <w:r w:rsidRPr="00F1741B">
        <w:rPr>
          <w:rFonts w:eastAsia="Times New Roman" w:cs="Times New Roman"/>
          <w:sz w:val="20"/>
          <w:szCs w:val="20"/>
        </w:rPr>
        <w:t xml:space="preserve">week clerkship. Every Thursday, we have a half day of didactics that are meant to be interactive and a half day of small group learning. We have 160 medical students per </w:t>
      </w:r>
      <w:proofErr w:type="gramStart"/>
      <w:r w:rsidRPr="00F1741B">
        <w:rPr>
          <w:rFonts w:eastAsia="Times New Roman" w:cs="Times New Roman"/>
          <w:sz w:val="20"/>
          <w:szCs w:val="20"/>
        </w:rPr>
        <w:t>year</w:t>
      </w:r>
      <w:proofErr w:type="gramEnd"/>
      <w:r w:rsidRPr="00F1741B">
        <w:rPr>
          <w:rFonts w:eastAsia="Times New Roman" w:cs="Times New Roman"/>
          <w:sz w:val="20"/>
          <w:szCs w:val="20"/>
        </w:rPr>
        <w:t xml:space="preserve"> but they rotate during their 2nd, 3rd or 4th years after completing a shortened 18 month pre-clinical curriculum. We have about 20 students per rotation and some are at remote/rural sites so do not participate in this workshop. All have access to these materials during their clerkship.</w:t>
      </w:r>
      <w:r w:rsidRPr="00F1741B">
        <w:rPr>
          <w:rFonts w:eastAsia="Times New Roman" w:cs="Times New Roman"/>
          <w:sz w:val="20"/>
          <w:szCs w:val="20"/>
        </w:rPr>
        <w:br/>
      </w:r>
      <w:r w:rsidRPr="00F1741B">
        <w:rPr>
          <w:rFonts w:eastAsia="Times New Roman" w:cs="Times New Roman"/>
          <w:sz w:val="20"/>
          <w:szCs w:val="20"/>
        </w:rPr>
        <w:br/>
      </w:r>
      <w:r w:rsidRPr="00F1741B">
        <w:rPr>
          <w:rFonts w:eastAsia="Times New Roman" w:cs="Times New Roman"/>
          <w:b/>
          <w:bCs/>
          <w:sz w:val="20"/>
          <w:szCs w:val="20"/>
        </w:rPr>
        <w:t>National Clerkship Curriculum Objectives Addressed</w:t>
      </w:r>
      <w:r w:rsidRPr="00F1741B">
        <w:rPr>
          <w:rFonts w:eastAsia="Times New Roman" w:cs="Times New Roman"/>
          <w:sz w:val="20"/>
          <w:szCs w:val="20"/>
        </w:rPr>
        <w:br/>
        <w:t>Please see case materials for developed objectives. Curricular areas that include NCC Objectives:</w:t>
      </w:r>
    </w:p>
    <w:p w14:paraId="51827466" w14:textId="77777777" w:rsidR="00F1741B" w:rsidRPr="00F1741B" w:rsidRDefault="00F1741B" w:rsidP="00F1741B">
      <w:pPr>
        <w:numPr>
          <w:ilvl w:val="0"/>
          <w:numId w:val="2"/>
        </w:numPr>
        <w:spacing w:before="100" w:beforeAutospacing="1" w:after="240"/>
        <w:rPr>
          <w:rFonts w:eastAsia="Times New Roman" w:cs="Times New Roman"/>
          <w:sz w:val="20"/>
          <w:szCs w:val="20"/>
        </w:rPr>
      </w:pPr>
      <w:r w:rsidRPr="00F1741B">
        <w:rPr>
          <w:rFonts w:eastAsia="Times New Roman" w:cs="Times New Roman"/>
          <w:sz w:val="20"/>
          <w:szCs w:val="20"/>
        </w:rPr>
        <w:t>The importance of the problem</w:t>
      </w:r>
      <w:r w:rsidRPr="00F1741B">
        <w:rPr>
          <w:rFonts w:eastAsia="Times New Roman" w:cs="Times New Roman"/>
          <w:sz w:val="20"/>
          <w:szCs w:val="20"/>
        </w:rPr>
        <w:br/>
        <w:t>Demonstrate the unequivocal value of primary care as an integral part of any health care system: We describe the importance of FM in providing gender affirming care, bridging across ages and following over time.</w:t>
      </w:r>
    </w:p>
    <w:p w14:paraId="14B84566" w14:textId="77777777" w:rsidR="00F1741B" w:rsidRPr="00F1741B" w:rsidRDefault="00F1741B" w:rsidP="00F1741B">
      <w:pPr>
        <w:numPr>
          <w:ilvl w:val="0"/>
          <w:numId w:val="2"/>
        </w:numPr>
        <w:spacing w:before="100" w:beforeAutospacing="1" w:after="240"/>
        <w:rPr>
          <w:rFonts w:eastAsia="Times New Roman" w:cs="Times New Roman"/>
          <w:sz w:val="20"/>
          <w:szCs w:val="20"/>
        </w:rPr>
      </w:pPr>
      <w:r w:rsidRPr="00F1741B">
        <w:rPr>
          <w:rFonts w:eastAsia="Times New Roman" w:cs="Times New Roman"/>
          <w:sz w:val="20"/>
          <w:szCs w:val="20"/>
        </w:rPr>
        <w:t>How to approach care of gender non-conforming individuals:</w:t>
      </w:r>
      <w:r w:rsidRPr="00F1741B">
        <w:rPr>
          <w:rFonts w:eastAsia="Times New Roman" w:cs="Times New Roman"/>
          <w:sz w:val="20"/>
          <w:szCs w:val="20"/>
        </w:rPr>
        <w:br/>
        <w:t>Demonstrate setting a collaborative agenda with the patient for an office visit</w:t>
      </w:r>
      <w:r w:rsidRPr="00F1741B">
        <w:rPr>
          <w:rFonts w:eastAsia="Times New Roman" w:cs="Times New Roman"/>
          <w:sz w:val="20"/>
          <w:szCs w:val="20"/>
        </w:rPr>
        <w:br/>
        <w:t>Reflect of the personal frustrations, and transform this response into a deeper</w:t>
      </w:r>
      <w:r w:rsidRPr="00F1741B">
        <w:rPr>
          <w:rFonts w:eastAsia="Times New Roman" w:cs="Times New Roman"/>
          <w:sz w:val="20"/>
          <w:szCs w:val="20"/>
        </w:rPr>
        <w:br/>
        <w:t>understanding of the patient’s and one’s own situation, when patients do not adhere to offered recommendations or plans.): We recommend working through personal beliefs and objections to providing this care to respect autonomy and also follow evidence. We discuss asking the patient's goals versus the provider's perceptions of goals</w:t>
      </w:r>
    </w:p>
    <w:p w14:paraId="7C4B1372" w14:textId="77777777" w:rsidR="00F1741B" w:rsidRPr="00F1741B" w:rsidRDefault="00F1741B" w:rsidP="00F1741B">
      <w:pPr>
        <w:numPr>
          <w:ilvl w:val="0"/>
          <w:numId w:val="2"/>
        </w:numPr>
        <w:spacing w:before="100" w:beforeAutospacing="1" w:after="240"/>
        <w:rPr>
          <w:rFonts w:eastAsia="Times New Roman" w:cs="Times New Roman"/>
          <w:sz w:val="20"/>
          <w:szCs w:val="20"/>
        </w:rPr>
      </w:pPr>
      <w:r w:rsidRPr="00F1741B">
        <w:rPr>
          <w:rFonts w:eastAsia="Times New Roman" w:cs="Times New Roman"/>
          <w:sz w:val="20"/>
          <w:szCs w:val="20"/>
        </w:rPr>
        <w:t>Continuity of Care: Describe the barrier to access and utilizing health care that stem from personal barriers. Describe the barriers stemming from the health care system that affect the ability of patients to obtain and use health care: We discuss patient and provider perceptions of providing gender affirming care.</w:t>
      </w:r>
    </w:p>
    <w:p w14:paraId="673601DC" w14:textId="77777777" w:rsidR="00F1741B" w:rsidRPr="00F1741B" w:rsidRDefault="00F1741B" w:rsidP="00F1741B">
      <w:pPr>
        <w:numPr>
          <w:ilvl w:val="0"/>
          <w:numId w:val="2"/>
        </w:numPr>
        <w:spacing w:before="100" w:beforeAutospacing="1" w:after="240"/>
        <w:rPr>
          <w:rFonts w:eastAsia="Times New Roman" w:cs="Times New Roman"/>
          <w:sz w:val="20"/>
          <w:szCs w:val="20"/>
        </w:rPr>
      </w:pPr>
      <w:r w:rsidRPr="00F1741B">
        <w:rPr>
          <w:rFonts w:eastAsia="Times New Roman" w:cs="Times New Roman"/>
          <w:sz w:val="20"/>
          <w:szCs w:val="20"/>
        </w:rPr>
        <w:lastRenderedPageBreak/>
        <w:t>Practice taking a sensitive sexual history:</w:t>
      </w:r>
      <w:r w:rsidRPr="00F1741B">
        <w:rPr>
          <w:rFonts w:eastAsia="Times New Roman" w:cs="Times New Roman"/>
          <w:sz w:val="20"/>
          <w:szCs w:val="20"/>
        </w:rPr>
        <w:br/>
        <w:t>Model the principles of family medicine: biopsychosocial model.</w:t>
      </w:r>
      <w:r w:rsidRPr="00F1741B">
        <w:rPr>
          <w:rFonts w:eastAsia="Times New Roman" w:cs="Times New Roman"/>
          <w:sz w:val="20"/>
          <w:szCs w:val="20"/>
        </w:rPr>
        <w:br/>
        <w:t>Develop evidence-based health promotion/disease prevention plans for patients of any age or gender.</w:t>
      </w:r>
      <w:r w:rsidRPr="00F1741B">
        <w:rPr>
          <w:rFonts w:eastAsia="Times New Roman" w:cs="Times New Roman"/>
          <w:sz w:val="20"/>
          <w:szCs w:val="20"/>
        </w:rPr>
        <w:br/>
        <w:t>Demonstrate competency in advanced elicitation of history, communication, physical examination, and critical thinking skills</w:t>
      </w:r>
      <w:r w:rsidRPr="00F1741B">
        <w:rPr>
          <w:rFonts w:eastAsia="Times New Roman" w:cs="Times New Roman"/>
          <w:sz w:val="20"/>
          <w:szCs w:val="20"/>
        </w:rPr>
        <w:br/>
        <w:t>Discuss the critical role of family physicians within any health care system</w:t>
      </w:r>
      <w:r w:rsidRPr="003253C6">
        <w:rPr>
          <w:rFonts w:eastAsia="Times New Roman" w:cs="Times New Roman"/>
          <w:sz w:val="20"/>
          <w:szCs w:val="20"/>
        </w:rPr>
        <w:t>​.</w:t>
      </w:r>
      <w:r w:rsidRPr="00F1741B">
        <w:rPr>
          <w:rFonts w:eastAsia="Times New Roman" w:cs="Times New Roman"/>
          <w:sz w:val="20"/>
          <w:szCs w:val="20"/>
        </w:rPr>
        <w:br/>
        <w:t>​T​each an approach to conducting a wellness visit for a patient of any age or gender.</w:t>
      </w:r>
      <w:r w:rsidRPr="00F1741B">
        <w:rPr>
          <w:rFonts w:eastAsia="Times New Roman" w:cs="Times New Roman"/>
          <w:sz w:val="20"/>
          <w:szCs w:val="20"/>
        </w:rPr>
        <w:br/>
        <w:t>Demonstrate active listening skills and empathy for patients.</w:t>
      </w:r>
      <w:r w:rsidRPr="00F1741B">
        <w:rPr>
          <w:rFonts w:eastAsia="Times New Roman" w:cs="Times New Roman"/>
          <w:sz w:val="20"/>
          <w:szCs w:val="20"/>
        </w:rPr>
        <w:br/>
        <w:t>These are completed via practice with obtaining a sexual history, following gender care guidelines, recognizing identity in childhood. We describe the care of gender non-confirming individuals, and how a different approach is needed that binary cisgender persons.</w:t>
      </w:r>
    </w:p>
    <w:p w14:paraId="1DF24218" w14:textId="77777777" w:rsidR="00F1741B" w:rsidRPr="00F1741B" w:rsidRDefault="00F1741B" w:rsidP="00F1741B">
      <w:pPr>
        <w:numPr>
          <w:ilvl w:val="0"/>
          <w:numId w:val="2"/>
        </w:numPr>
        <w:spacing w:before="100" w:beforeAutospacing="1" w:after="240"/>
        <w:rPr>
          <w:rFonts w:eastAsia="Times New Roman" w:cs="Times New Roman"/>
          <w:sz w:val="20"/>
          <w:szCs w:val="20"/>
        </w:rPr>
      </w:pPr>
      <w:r w:rsidRPr="00F1741B">
        <w:rPr>
          <w:rFonts w:eastAsia="Times New Roman" w:cs="Times New Roman"/>
          <w:sz w:val="20"/>
          <w:szCs w:val="20"/>
        </w:rPr>
        <w:t>Risks and benefits of affirming care:</w:t>
      </w:r>
      <w:r w:rsidRPr="00F1741B">
        <w:rPr>
          <w:rFonts w:eastAsia="Times New Roman" w:cs="Times New Roman"/>
          <w:sz w:val="20"/>
          <w:szCs w:val="20"/>
        </w:rPr>
        <w:br/>
        <w:t>Contextual Care: Discuss health disparities and their potential causes and influences</w:t>
      </w:r>
      <w:r w:rsidRPr="00F1741B">
        <w:rPr>
          <w:rFonts w:eastAsia="Times New Roman" w:cs="Times New Roman"/>
          <w:sz w:val="20"/>
          <w:szCs w:val="20"/>
        </w:rPr>
        <w:br/>
        <w:t>Discuss areas where culture can impact the ability of patients to access</w:t>
      </w:r>
      <w:r w:rsidRPr="00F1741B">
        <w:rPr>
          <w:rFonts w:eastAsia="Times New Roman" w:cs="Times New Roman"/>
          <w:sz w:val="20"/>
          <w:szCs w:val="20"/>
        </w:rPr>
        <w:br/>
        <w:t>and utilize health care:</w:t>
      </w:r>
      <w:r w:rsidRPr="00F1741B">
        <w:rPr>
          <w:rFonts w:eastAsia="Times New Roman" w:cs="Times New Roman"/>
          <w:sz w:val="20"/>
          <w:szCs w:val="20"/>
        </w:rPr>
        <w:br/>
        <w:t>We discuss the significant risks to LGBTQIA individuals and need to provide a welcoming and affirming environment.</w:t>
      </w:r>
    </w:p>
    <w:p w14:paraId="71DE5F25" w14:textId="77777777" w:rsidR="00F1741B" w:rsidRPr="00F1741B" w:rsidRDefault="00F1741B" w:rsidP="00F1741B">
      <w:pPr>
        <w:numPr>
          <w:ilvl w:val="0"/>
          <w:numId w:val="2"/>
        </w:numPr>
        <w:spacing w:before="100" w:beforeAutospacing="1" w:after="100" w:afterAutospacing="1"/>
        <w:rPr>
          <w:rFonts w:eastAsia="Times New Roman" w:cs="Times New Roman"/>
          <w:sz w:val="20"/>
          <w:szCs w:val="20"/>
        </w:rPr>
      </w:pPr>
      <w:r w:rsidRPr="00F1741B">
        <w:rPr>
          <w:rFonts w:eastAsia="Times New Roman" w:cs="Times New Roman"/>
          <w:sz w:val="20"/>
          <w:szCs w:val="20"/>
        </w:rPr>
        <w:t>Resources to provide this care in the community:</w:t>
      </w:r>
      <w:r w:rsidRPr="00F1741B">
        <w:rPr>
          <w:rFonts w:eastAsia="Times New Roman" w:cs="Times New Roman"/>
          <w:sz w:val="20"/>
          <w:szCs w:val="20"/>
        </w:rPr>
        <w:br/>
      </w:r>
      <w:r w:rsidRPr="003253C6">
        <w:rPr>
          <w:rFonts w:eastAsia="Times New Roman" w:cs="Times New Roman"/>
          <w:sz w:val="20"/>
          <w:szCs w:val="20"/>
        </w:rPr>
        <w:t>​I​</w:t>
      </w:r>
      <w:proofErr w:type="spellStart"/>
      <w:r w:rsidRPr="00F1741B">
        <w:rPr>
          <w:rFonts w:eastAsia="Times New Roman" w:cs="Times New Roman"/>
          <w:sz w:val="20"/>
          <w:szCs w:val="20"/>
        </w:rPr>
        <w:t>dentify</w:t>
      </w:r>
      <w:proofErr w:type="spellEnd"/>
      <w:r w:rsidRPr="00F1741B">
        <w:rPr>
          <w:rFonts w:eastAsia="Times New Roman" w:cs="Times New Roman"/>
          <w:sz w:val="20"/>
          <w:szCs w:val="20"/>
        </w:rPr>
        <w:t xml:space="preserve"> resources in a local practice community that support positive health outcomes for diverse patients and families: We discuss online resources available no matter where students practice</w:t>
      </w:r>
    </w:p>
    <w:p w14:paraId="7AF4F2C4" w14:textId="77777777" w:rsidR="00F1741B" w:rsidRPr="00F1741B" w:rsidRDefault="00F1741B" w:rsidP="00F1741B">
      <w:pPr>
        <w:rPr>
          <w:rFonts w:eastAsia="Times New Roman" w:cs="Times New Roman"/>
          <w:sz w:val="20"/>
          <w:szCs w:val="20"/>
        </w:rPr>
      </w:pPr>
      <w:r w:rsidRPr="00F1741B">
        <w:rPr>
          <w:rFonts w:eastAsia="Times New Roman" w:cs="Times New Roman"/>
          <w:b/>
          <w:bCs/>
          <w:sz w:val="20"/>
          <w:szCs w:val="20"/>
        </w:rPr>
        <w:t xml:space="preserve">Association of American Medical Colleges </w:t>
      </w:r>
      <w:proofErr w:type="spellStart"/>
      <w:r w:rsidRPr="00F1741B">
        <w:rPr>
          <w:rFonts w:eastAsia="Times New Roman" w:cs="Times New Roman"/>
          <w:b/>
          <w:bCs/>
          <w:sz w:val="20"/>
          <w:szCs w:val="20"/>
        </w:rPr>
        <w:t>Entrustable</w:t>
      </w:r>
      <w:proofErr w:type="spellEnd"/>
      <w:r w:rsidRPr="00F1741B">
        <w:rPr>
          <w:rFonts w:eastAsia="Times New Roman" w:cs="Times New Roman"/>
          <w:b/>
          <w:bCs/>
          <w:sz w:val="20"/>
          <w:szCs w:val="20"/>
        </w:rPr>
        <w:t xml:space="preserve"> Professional Activities Addressed</w:t>
      </w:r>
    </w:p>
    <w:p w14:paraId="33D8DE0B" w14:textId="77777777" w:rsidR="00F1741B" w:rsidRPr="00F1741B" w:rsidRDefault="00F1741B" w:rsidP="00F1741B">
      <w:pPr>
        <w:numPr>
          <w:ilvl w:val="0"/>
          <w:numId w:val="3"/>
        </w:numPr>
        <w:spacing w:before="100" w:beforeAutospacing="1" w:after="100" w:afterAutospacing="1"/>
        <w:rPr>
          <w:rFonts w:eastAsia="Times New Roman" w:cs="Times New Roman"/>
          <w:sz w:val="20"/>
          <w:szCs w:val="20"/>
        </w:rPr>
      </w:pPr>
      <w:r w:rsidRPr="00F1741B">
        <w:rPr>
          <w:rFonts w:eastAsia="Times New Roman" w:cs="Times New Roman"/>
          <w:sz w:val="20"/>
          <w:szCs w:val="20"/>
        </w:rPr>
        <w:t>EPA 1: Gather a history and perform a physical examination</w:t>
      </w:r>
    </w:p>
    <w:p w14:paraId="21CB2B28" w14:textId="2A8AF90F" w:rsidR="00F1741B" w:rsidRPr="00F1741B" w:rsidRDefault="00F1741B" w:rsidP="00F1741B">
      <w:pPr>
        <w:rPr>
          <w:rFonts w:eastAsia="Times New Roman" w:cs="Times New Roman"/>
          <w:sz w:val="20"/>
          <w:szCs w:val="20"/>
        </w:rPr>
      </w:pPr>
      <w:r w:rsidRPr="00F1741B">
        <w:rPr>
          <w:rFonts w:eastAsia="Times New Roman" w:cs="Times New Roman"/>
          <w:b/>
          <w:bCs/>
          <w:sz w:val="20"/>
          <w:szCs w:val="20"/>
        </w:rPr>
        <w:t>Program Content and Educational Methods</w:t>
      </w:r>
      <w:r w:rsidRPr="00F1741B">
        <w:rPr>
          <w:rFonts w:eastAsia="Times New Roman" w:cs="Times New Roman"/>
          <w:sz w:val="20"/>
          <w:szCs w:val="20"/>
        </w:rPr>
        <w:br/>
        <w:t xml:space="preserve">This is a </w:t>
      </w:r>
      <w:proofErr w:type="gramStart"/>
      <w:r w:rsidRPr="00F1741B">
        <w:rPr>
          <w:rFonts w:eastAsia="Times New Roman" w:cs="Times New Roman"/>
          <w:sz w:val="20"/>
          <w:szCs w:val="20"/>
        </w:rPr>
        <w:t>1.5 hour</w:t>
      </w:r>
      <w:proofErr w:type="gramEnd"/>
      <w:r w:rsidRPr="00F1741B">
        <w:rPr>
          <w:rFonts w:eastAsia="Times New Roman" w:cs="Times New Roman"/>
          <w:sz w:val="20"/>
          <w:szCs w:val="20"/>
        </w:rPr>
        <w:t xml:space="preserve"> workshop in which students interact with the instructor to address health disparities. There are slides to be emailed or printed to disperse to students several days before the session to review basics principles of hormones. The talk is given to the large group via a projected </w:t>
      </w:r>
      <w:proofErr w:type="spellStart"/>
      <w:r w:rsidRPr="00F1741B">
        <w:rPr>
          <w:rFonts w:eastAsia="Times New Roman" w:cs="Times New Roman"/>
          <w:sz w:val="20"/>
          <w:szCs w:val="20"/>
        </w:rPr>
        <w:t>powerpoint</w:t>
      </w:r>
      <w:proofErr w:type="spellEnd"/>
      <w:r w:rsidRPr="00F1741B">
        <w:rPr>
          <w:rFonts w:eastAsia="Times New Roman" w:cs="Times New Roman"/>
          <w:sz w:val="20"/>
          <w:szCs w:val="20"/>
        </w:rPr>
        <w:t xml:space="preserve"> in a room where tables are available to divide the students into 4 different groups. After answering general questions from the pre-slides, the faculty gives an overview of the general learning points and themes on how to take a sexual history. The students then break into pairs to practice (taking turns being the patient) taking a sexual history of a transgender patient and are forced to specifically elicit sexual practices to determine appropriate STI and pregnancy risk factors with a gender non-binary individual who has sex with a non cis-gender individual, pressing for discussion of the sex organs involved. They then break into small groups to discuss the case presented in the power point, dividing students with prior experience with gender diverse individuals across groups, and come up with a plan to start gender affirming care. The faculty guide provides more details.</w:t>
      </w:r>
      <w:r w:rsidRPr="00F1741B">
        <w:rPr>
          <w:rFonts w:eastAsia="Times New Roman" w:cs="Times New Roman"/>
          <w:sz w:val="20"/>
          <w:szCs w:val="20"/>
        </w:rPr>
        <w:br/>
      </w:r>
      <w:r w:rsidRPr="00F1741B">
        <w:rPr>
          <w:rFonts w:eastAsia="Times New Roman" w:cs="Times New Roman"/>
          <w:sz w:val="20"/>
          <w:szCs w:val="20"/>
        </w:rPr>
        <w:br/>
      </w:r>
      <w:r w:rsidRPr="00F1741B">
        <w:rPr>
          <w:rFonts w:eastAsia="Times New Roman" w:cs="Times New Roman"/>
          <w:i/>
          <w:iCs/>
          <w:sz w:val="20"/>
          <w:szCs w:val="20"/>
        </w:rPr>
        <w:t>Please match your educational methods with those listed below in accordance with the National Clerkship Curriculum.</w:t>
      </w:r>
    </w:p>
    <w:p w14:paraId="0A436B3C" w14:textId="77777777" w:rsidR="00F1741B" w:rsidRPr="00F1741B" w:rsidRDefault="00F1741B" w:rsidP="00F1741B">
      <w:pPr>
        <w:numPr>
          <w:ilvl w:val="0"/>
          <w:numId w:val="4"/>
        </w:numPr>
        <w:spacing w:before="100" w:beforeAutospacing="1" w:after="100" w:afterAutospacing="1"/>
        <w:rPr>
          <w:rFonts w:eastAsia="Times New Roman" w:cs="Times New Roman"/>
          <w:sz w:val="20"/>
          <w:szCs w:val="20"/>
        </w:rPr>
      </w:pPr>
      <w:r w:rsidRPr="00F1741B">
        <w:rPr>
          <w:rFonts w:eastAsia="Times New Roman" w:cs="Times New Roman"/>
          <w:sz w:val="20"/>
          <w:szCs w:val="20"/>
        </w:rPr>
        <w:t>Small Group Sessions</w:t>
      </w:r>
    </w:p>
    <w:p w14:paraId="57759E22" w14:textId="77777777" w:rsidR="00F1741B" w:rsidRPr="00F1741B" w:rsidRDefault="00F1741B" w:rsidP="00F1741B">
      <w:pPr>
        <w:numPr>
          <w:ilvl w:val="0"/>
          <w:numId w:val="4"/>
        </w:numPr>
        <w:spacing w:before="100" w:beforeAutospacing="1" w:after="100" w:afterAutospacing="1"/>
        <w:rPr>
          <w:rFonts w:eastAsia="Times New Roman" w:cs="Times New Roman"/>
          <w:sz w:val="20"/>
          <w:szCs w:val="20"/>
        </w:rPr>
      </w:pPr>
      <w:r w:rsidRPr="00F1741B">
        <w:rPr>
          <w:rFonts w:eastAsia="Times New Roman" w:cs="Times New Roman"/>
          <w:sz w:val="20"/>
          <w:szCs w:val="20"/>
        </w:rPr>
        <w:t>Skill Development Sessions</w:t>
      </w:r>
    </w:p>
    <w:p w14:paraId="5640672D" w14:textId="77777777" w:rsidR="00F1741B" w:rsidRPr="00F1741B" w:rsidRDefault="00F1741B" w:rsidP="00F1741B">
      <w:pPr>
        <w:numPr>
          <w:ilvl w:val="0"/>
          <w:numId w:val="4"/>
        </w:numPr>
        <w:spacing w:before="100" w:beforeAutospacing="1" w:after="100" w:afterAutospacing="1"/>
        <w:rPr>
          <w:rFonts w:eastAsia="Times New Roman" w:cs="Times New Roman"/>
          <w:sz w:val="20"/>
          <w:szCs w:val="20"/>
        </w:rPr>
      </w:pPr>
      <w:r w:rsidRPr="00F1741B">
        <w:rPr>
          <w:rFonts w:eastAsia="Times New Roman" w:cs="Times New Roman"/>
          <w:sz w:val="20"/>
          <w:szCs w:val="20"/>
        </w:rPr>
        <w:t>Case-Based Learning</w:t>
      </w:r>
    </w:p>
    <w:p w14:paraId="7FC3079B" w14:textId="77777777" w:rsidR="00F1741B" w:rsidRPr="00F1741B" w:rsidRDefault="00F1741B" w:rsidP="00F1741B">
      <w:pPr>
        <w:rPr>
          <w:rFonts w:eastAsia="Times New Roman" w:cs="Times New Roman"/>
          <w:sz w:val="20"/>
          <w:szCs w:val="20"/>
        </w:rPr>
      </w:pPr>
      <w:r w:rsidRPr="00F1741B">
        <w:rPr>
          <w:rFonts w:eastAsia="Times New Roman" w:cs="Times New Roman"/>
          <w:b/>
          <w:bCs/>
          <w:sz w:val="20"/>
          <w:szCs w:val="20"/>
        </w:rPr>
        <w:t>Assessment Strategies to achieve outcomes</w:t>
      </w:r>
      <w:r w:rsidRPr="00F1741B">
        <w:rPr>
          <w:rFonts w:eastAsia="Times New Roman" w:cs="Times New Roman"/>
          <w:b/>
          <w:bCs/>
          <w:sz w:val="20"/>
          <w:szCs w:val="20"/>
        </w:rPr>
        <w:br/>
      </w:r>
      <w:r w:rsidRPr="00F1741B">
        <w:rPr>
          <w:rFonts w:eastAsia="Times New Roman" w:cs="Times New Roman"/>
          <w:i/>
          <w:iCs/>
          <w:sz w:val="20"/>
          <w:szCs w:val="20"/>
        </w:rPr>
        <w:t>Please describe below the assessment methods for each of the targeted objectives.</w:t>
      </w:r>
      <w:r w:rsidRPr="00F1741B">
        <w:rPr>
          <w:rFonts w:eastAsia="Times New Roman" w:cs="Times New Roman"/>
          <w:sz w:val="20"/>
          <w:szCs w:val="20"/>
        </w:rPr>
        <w:br/>
      </w:r>
      <w:r w:rsidRPr="00F1741B">
        <w:rPr>
          <w:rFonts w:eastAsia="Times New Roman" w:cs="Times New Roman"/>
          <w:sz w:val="20"/>
          <w:szCs w:val="20"/>
        </w:rPr>
        <w:br/>
        <w:t xml:space="preserve">We observe the students' ability to practice taking a specific and sensitive sexual </w:t>
      </w:r>
      <w:proofErr w:type="gramStart"/>
      <w:r w:rsidRPr="00F1741B">
        <w:rPr>
          <w:rFonts w:eastAsia="Times New Roman" w:cs="Times New Roman"/>
          <w:sz w:val="20"/>
          <w:szCs w:val="20"/>
        </w:rPr>
        <w:t>history, and</w:t>
      </w:r>
      <w:proofErr w:type="gramEnd"/>
      <w:r w:rsidRPr="00F1741B">
        <w:rPr>
          <w:rFonts w:eastAsia="Times New Roman" w:cs="Times New Roman"/>
          <w:sz w:val="20"/>
          <w:szCs w:val="20"/>
        </w:rPr>
        <w:t xml:space="preserve"> give feedback to the group but do not do so to any student in particular. We find that this helps set a lower stakes and safe environment to make mistakes and work through natural word struggles when asking questions for the first time. We are developing a curriculum to assess the ability to do informed consent as a model of hormone prescriptions via an Objective Structured Clinical Examination (OSCE), but this is not yet implemented. We obtain feedback at the end of each month that students have gained valuable skills not learned elsewhere in their curriculum. Students complete and end of rotation evaluation and report that the effectiveness of increasing their knowledge base is 4.54/5.00 and the quality of the workshop is 4.54/5.00 averaged over July 13th, 2017 to March 23rd, 2019.</w:t>
      </w:r>
      <w:r w:rsidRPr="00F1741B">
        <w:rPr>
          <w:rFonts w:eastAsia="Times New Roman" w:cs="Times New Roman"/>
          <w:sz w:val="20"/>
          <w:szCs w:val="20"/>
        </w:rPr>
        <w:br/>
      </w:r>
      <w:r w:rsidRPr="00F1741B">
        <w:rPr>
          <w:rFonts w:eastAsia="Times New Roman" w:cs="Times New Roman"/>
          <w:i/>
          <w:iCs/>
          <w:sz w:val="20"/>
          <w:szCs w:val="20"/>
        </w:rPr>
        <w:br/>
        <w:t>Please match your strategies with those listed below in accordance with the National Clerkship Curriculum.</w:t>
      </w:r>
    </w:p>
    <w:p w14:paraId="7807B27A" w14:textId="77777777" w:rsidR="00F1741B" w:rsidRPr="00F1741B" w:rsidRDefault="00F1741B" w:rsidP="00F1741B">
      <w:pPr>
        <w:numPr>
          <w:ilvl w:val="0"/>
          <w:numId w:val="5"/>
        </w:numPr>
        <w:spacing w:before="100" w:beforeAutospacing="1" w:after="100" w:afterAutospacing="1"/>
        <w:rPr>
          <w:rFonts w:eastAsia="Times New Roman" w:cs="Times New Roman"/>
          <w:sz w:val="20"/>
          <w:szCs w:val="20"/>
        </w:rPr>
      </w:pPr>
      <w:r w:rsidRPr="00F1741B">
        <w:rPr>
          <w:rFonts w:eastAsia="Times New Roman" w:cs="Times New Roman"/>
          <w:sz w:val="20"/>
          <w:szCs w:val="20"/>
        </w:rPr>
        <w:t>Student Assessment &amp; Evaluation (Are your students learning?</w:t>
      </w:r>
    </w:p>
    <w:p w14:paraId="5A56E52F" w14:textId="77777777" w:rsidR="00F1741B" w:rsidRPr="00F1741B" w:rsidRDefault="00F1741B" w:rsidP="00F1741B">
      <w:pPr>
        <w:numPr>
          <w:ilvl w:val="0"/>
          <w:numId w:val="5"/>
        </w:numPr>
        <w:spacing w:before="100" w:beforeAutospacing="1" w:after="100" w:afterAutospacing="1"/>
        <w:rPr>
          <w:rFonts w:eastAsia="Times New Roman" w:cs="Times New Roman"/>
          <w:sz w:val="20"/>
          <w:szCs w:val="20"/>
        </w:rPr>
      </w:pPr>
      <w:r w:rsidRPr="00F1741B">
        <w:rPr>
          <w:rFonts w:eastAsia="Times New Roman" w:cs="Times New Roman"/>
          <w:sz w:val="20"/>
          <w:szCs w:val="20"/>
        </w:rPr>
        <w:t>Overall Clerkship Evaluation &amp; Improvement (Is your clerkship meeting all of its objectives?)</w:t>
      </w:r>
    </w:p>
    <w:p w14:paraId="52A32772" w14:textId="719EE832" w:rsidR="00F1741B" w:rsidRPr="00F1741B" w:rsidRDefault="00F1741B" w:rsidP="00F1741B">
      <w:pPr>
        <w:spacing w:after="240"/>
        <w:rPr>
          <w:rFonts w:eastAsia="Times New Roman" w:cs="Times New Roman"/>
          <w:sz w:val="20"/>
          <w:szCs w:val="20"/>
        </w:rPr>
      </w:pPr>
      <w:r w:rsidRPr="00F1741B">
        <w:rPr>
          <w:rFonts w:eastAsia="Times New Roman" w:cs="Times New Roman"/>
          <w:b/>
          <w:bCs/>
          <w:sz w:val="20"/>
          <w:szCs w:val="20"/>
        </w:rPr>
        <w:t>Lessons Learned</w:t>
      </w:r>
      <w:r w:rsidRPr="00F1741B">
        <w:rPr>
          <w:rFonts w:eastAsia="Times New Roman" w:cs="Times New Roman"/>
          <w:sz w:val="20"/>
          <w:szCs w:val="20"/>
        </w:rPr>
        <w:br/>
        <w:t>We have had to continually adapt as more and more students have personal stories of self, friends or patients who have or are in transition. These students find taking the history and discussing hormones much easier than other learners. To encourage peer learning and avoid redundancy for these students’ education, we have had to break up groups more intentionally to spread the experience more evenly, so that those with lived experiences can help mentor those for whom this is new material. We have learned that students do attend a lecture regarding the physical changes and gender identity development in pre-clinical years at variable rates, but do not have structured teaching to allow questions and practice. We encourage an open and honest discussion about barriers to providing this care in this non-assessed workshop so that those initially fearful of this care can gain some experience.</w:t>
      </w:r>
    </w:p>
    <w:p w14:paraId="624D3A3D" w14:textId="77777777" w:rsidR="00C47659" w:rsidRDefault="00F1741B" w:rsidP="00C47659">
      <w:pPr>
        <w:rPr>
          <w:rFonts w:eastAsia="Times New Roman" w:cs="Times New Roman"/>
          <w:sz w:val="20"/>
          <w:szCs w:val="20"/>
        </w:rPr>
      </w:pPr>
      <w:r w:rsidRPr="00F1741B">
        <w:rPr>
          <w:rFonts w:eastAsia="Times New Roman" w:cs="Times New Roman"/>
          <w:b/>
          <w:bCs/>
          <w:sz w:val="20"/>
          <w:szCs w:val="20"/>
        </w:rPr>
        <w:t>Explanation of Appendices</w:t>
      </w:r>
      <w:r w:rsidRPr="00F1741B">
        <w:rPr>
          <w:rFonts w:eastAsia="Times New Roman" w:cs="Times New Roman"/>
          <w:sz w:val="20"/>
          <w:szCs w:val="20"/>
        </w:rPr>
        <w:br/>
      </w:r>
      <w:r w:rsidR="00C47659">
        <w:rPr>
          <w:rFonts w:eastAsia="Times New Roman" w:cs="Times New Roman"/>
          <w:sz w:val="20"/>
          <w:szCs w:val="20"/>
        </w:rPr>
        <w:t xml:space="preserve">Appendix A: </w:t>
      </w:r>
    </w:p>
    <w:p w14:paraId="57014E04" w14:textId="18DFF1D5" w:rsidR="00F1741B" w:rsidRPr="00F1741B" w:rsidRDefault="00F1741B" w:rsidP="00C47659">
      <w:pPr>
        <w:rPr>
          <w:rFonts w:eastAsia="Times New Roman" w:cs="Times New Roman"/>
          <w:sz w:val="20"/>
          <w:szCs w:val="20"/>
        </w:rPr>
      </w:pPr>
      <w:r w:rsidRPr="00F1741B">
        <w:rPr>
          <w:rFonts w:eastAsia="Times New Roman" w:cs="Times New Roman"/>
          <w:sz w:val="20"/>
          <w:szCs w:val="20"/>
        </w:rPr>
        <w:t>Faculty Guid</w:t>
      </w:r>
      <w:r w:rsidR="00C47659">
        <w:rPr>
          <w:rFonts w:eastAsia="Times New Roman" w:cs="Times New Roman"/>
          <w:sz w:val="20"/>
          <w:szCs w:val="20"/>
        </w:rPr>
        <w:t>e—</w:t>
      </w:r>
      <w:r w:rsidRPr="00F1741B">
        <w:rPr>
          <w:rFonts w:eastAsia="Times New Roman" w:cs="Times New Roman"/>
          <w:sz w:val="20"/>
          <w:szCs w:val="20"/>
        </w:rPr>
        <w:t>This is meant for novice educators or those with minimal transgender care experience, to walk through each slide and the main learning point of why each section was included. It also includes the link to WPATH and UCSF guidelines.</w:t>
      </w:r>
    </w:p>
    <w:p w14:paraId="681AC89E" w14:textId="6AAFCA8A" w:rsidR="00F1741B" w:rsidRPr="00F1741B" w:rsidRDefault="00C47659" w:rsidP="00C47659">
      <w:pPr>
        <w:spacing w:before="100" w:beforeAutospacing="1" w:after="100" w:afterAutospacing="1"/>
        <w:rPr>
          <w:rFonts w:eastAsia="Times New Roman" w:cs="Times New Roman"/>
          <w:sz w:val="20"/>
          <w:szCs w:val="20"/>
        </w:rPr>
      </w:pPr>
      <w:r>
        <w:rPr>
          <w:rFonts w:eastAsia="Times New Roman" w:cs="Times New Roman"/>
          <w:sz w:val="20"/>
          <w:szCs w:val="20"/>
        </w:rPr>
        <w:t xml:space="preserve">Appendix B: </w:t>
      </w:r>
      <w:r>
        <w:rPr>
          <w:rFonts w:eastAsia="Times New Roman" w:cs="Times New Roman"/>
          <w:sz w:val="20"/>
          <w:szCs w:val="20"/>
        </w:rPr>
        <w:br/>
      </w:r>
      <w:proofErr w:type="spellStart"/>
      <w:r w:rsidR="00F1741B" w:rsidRPr="00F1741B">
        <w:rPr>
          <w:rFonts w:eastAsia="Times New Roman" w:cs="Times New Roman"/>
          <w:sz w:val="20"/>
          <w:szCs w:val="20"/>
        </w:rPr>
        <w:t>Powerpoint</w:t>
      </w:r>
      <w:proofErr w:type="spellEnd"/>
      <w:r>
        <w:rPr>
          <w:rFonts w:eastAsia="Times New Roman" w:cs="Times New Roman"/>
          <w:sz w:val="20"/>
          <w:szCs w:val="20"/>
        </w:rPr>
        <w:t>—</w:t>
      </w:r>
      <w:r w:rsidR="00F1741B" w:rsidRPr="00F1741B">
        <w:rPr>
          <w:rFonts w:eastAsia="Times New Roman" w:cs="Times New Roman"/>
          <w:sz w:val="20"/>
          <w:szCs w:val="20"/>
        </w:rPr>
        <w:t>This is an example of how the authors present the material to the students. The beginning several slides are the “pre-work” for students to review prior to the workshop.</w:t>
      </w:r>
    </w:p>
    <w:p w14:paraId="7C4B5FF1" w14:textId="357A0473" w:rsidR="003253C6" w:rsidRDefault="00F1741B" w:rsidP="003253C6">
      <w:pPr>
        <w:rPr>
          <w:rFonts w:eastAsia="Times New Roman" w:cs="Times New Roman"/>
          <w:sz w:val="20"/>
          <w:szCs w:val="20"/>
        </w:rPr>
      </w:pPr>
      <w:r w:rsidRPr="003253C6">
        <w:rPr>
          <w:rFonts w:eastAsia="Times New Roman" w:cs="Times New Roman"/>
          <w:b/>
          <w:bCs/>
          <w:sz w:val="20"/>
          <w:szCs w:val="20"/>
        </w:rPr>
        <w:t>References</w:t>
      </w:r>
    </w:p>
    <w:p w14:paraId="24DBE94E" w14:textId="0E63869B" w:rsidR="003253C6" w:rsidRDefault="00F1741B" w:rsidP="003253C6">
      <w:pPr>
        <w:pStyle w:val="ListParagraph"/>
        <w:numPr>
          <w:ilvl w:val="0"/>
          <w:numId w:val="9"/>
        </w:numPr>
        <w:rPr>
          <w:rFonts w:eastAsia="Times New Roman" w:cs="Times New Roman"/>
          <w:sz w:val="20"/>
          <w:szCs w:val="20"/>
        </w:rPr>
      </w:pPr>
      <w:r w:rsidRPr="003253C6">
        <w:rPr>
          <w:rFonts w:eastAsia="Times New Roman" w:cs="Times New Roman"/>
          <w:sz w:val="20"/>
          <w:szCs w:val="20"/>
        </w:rPr>
        <w:t>Center of Excellence for Transgender Health, Department of Family and Community Medicine, University of California San Francisco. Guidelines for the Primary and Gender-Affirming Care of Transgender and Gender Nonbinary People; 2nd edition. Deutsch MB, ed. June 2016. Available at www.transhe</w:t>
      </w:r>
      <w:r w:rsidR="003253C6">
        <w:rPr>
          <w:rFonts w:eastAsia="Times New Roman" w:cs="Times New Roman"/>
          <w:sz w:val="20"/>
          <w:szCs w:val="20"/>
        </w:rPr>
        <w:t>alth.ucsf.edu/guidelines</w:t>
      </w:r>
    </w:p>
    <w:p w14:paraId="668F3514" w14:textId="23920FEF" w:rsidR="00F1741B" w:rsidRPr="003253C6" w:rsidRDefault="00F1741B" w:rsidP="003253C6">
      <w:pPr>
        <w:pStyle w:val="ListParagraph"/>
        <w:numPr>
          <w:ilvl w:val="0"/>
          <w:numId w:val="9"/>
        </w:numPr>
        <w:rPr>
          <w:rFonts w:eastAsia="Times New Roman" w:cs="Times New Roman"/>
          <w:sz w:val="20"/>
          <w:szCs w:val="20"/>
        </w:rPr>
      </w:pPr>
      <w:r w:rsidRPr="003253C6">
        <w:rPr>
          <w:rFonts w:eastAsia="Times New Roman" w:cs="Times New Roman"/>
          <w:sz w:val="20"/>
          <w:szCs w:val="20"/>
        </w:rPr>
        <w:t>The World Professional Association for Transgender Health. Standards of Care for the Health of Transsexual, Transgender, and Gender Nonconforming People. Volume 7. 2012. Available at https://www.wpath.org/publications/soc</w:t>
      </w:r>
    </w:p>
    <w:p w14:paraId="1EF43EBF" w14:textId="77777777" w:rsidR="0012045E" w:rsidRPr="00F1741B" w:rsidRDefault="008938A9" w:rsidP="00F1741B"/>
    <w:sectPr w:rsidR="0012045E" w:rsidRPr="00F1741B" w:rsidSect="00CE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54F5"/>
    <w:multiLevelType w:val="multilevel"/>
    <w:tmpl w:val="2938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B15B7"/>
    <w:multiLevelType w:val="multilevel"/>
    <w:tmpl w:val="94E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C707D"/>
    <w:multiLevelType w:val="multilevel"/>
    <w:tmpl w:val="84FE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E1164"/>
    <w:multiLevelType w:val="multilevel"/>
    <w:tmpl w:val="9BC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F11B8"/>
    <w:multiLevelType w:val="hybridMultilevel"/>
    <w:tmpl w:val="08E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A16A0"/>
    <w:multiLevelType w:val="hybridMultilevel"/>
    <w:tmpl w:val="5DE23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F18BA"/>
    <w:multiLevelType w:val="multilevel"/>
    <w:tmpl w:val="7C4C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73F41"/>
    <w:multiLevelType w:val="multilevel"/>
    <w:tmpl w:val="C9E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70F00"/>
    <w:multiLevelType w:val="hybridMultilevel"/>
    <w:tmpl w:val="5B2A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1B"/>
    <w:rsid w:val="002A7B2D"/>
    <w:rsid w:val="003253C6"/>
    <w:rsid w:val="008938A9"/>
    <w:rsid w:val="008D6F7A"/>
    <w:rsid w:val="00C47659"/>
    <w:rsid w:val="00CE5114"/>
    <w:rsid w:val="00F1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9FB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F1741B"/>
  </w:style>
  <w:style w:type="paragraph" w:styleId="ListParagraph">
    <w:name w:val="List Paragraph"/>
    <w:basedOn w:val="Normal"/>
    <w:uiPriority w:val="34"/>
    <w:qFormat/>
    <w:rsid w:val="00F1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92880">
      <w:bodyDiv w:val="1"/>
      <w:marLeft w:val="0"/>
      <w:marRight w:val="0"/>
      <w:marTop w:val="0"/>
      <w:marBottom w:val="0"/>
      <w:divBdr>
        <w:top w:val="none" w:sz="0" w:space="0" w:color="auto"/>
        <w:left w:val="none" w:sz="0" w:space="0" w:color="auto"/>
        <w:bottom w:val="none" w:sz="0" w:space="0" w:color="auto"/>
        <w:right w:val="none" w:sz="0" w:space="0" w:color="auto"/>
      </w:divBdr>
      <w:divsChild>
        <w:div w:id="28532083">
          <w:marLeft w:val="0"/>
          <w:marRight w:val="0"/>
          <w:marTop w:val="0"/>
          <w:marBottom w:val="0"/>
          <w:divBdr>
            <w:top w:val="none" w:sz="0" w:space="0" w:color="auto"/>
            <w:left w:val="none" w:sz="0" w:space="0" w:color="auto"/>
            <w:bottom w:val="none" w:sz="0" w:space="0" w:color="auto"/>
            <w:right w:val="none" w:sz="0" w:space="0" w:color="auto"/>
          </w:divBdr>
        </w:div>
        <w:div w:id="994837555">
          <w:marLeft w:val="0"/>
          <w:marRight w:val="0"/>
          <w:marTop w:val="0"/>
          <w:marBottom w:val="0"/>
          <w:divBdr>
            <w:top w:val="none" w:sz="0" w:space="0" w:color="auto"/>
            <w:left w:val="none" w:sz="0" w:space="0" w:color="auto"/>
            <w:bottom w:val="none" w:sz="0" w:space="0" w:color="auto"/>
            <w:right w:val="none" w:sz="0" w:space="0" w:color="auto"/>
          </w:divBdr>
          <w:divsChild>
            <w:div w:id="392126000">
              <w:marLeft w:val="0"/>
              <w:marRight w:val="0"/>
              <w:marTop w:val="0"/>
              <w:marBottom w:val="0"/>
              <w:divBdr>
                <w:top w:val="none" w:sz="0" w:space="0" w:color="auto"/>
                <w:left w:val="none" w:sz="0" w:space="0" w:color="auto"/>
                <w:bottom w:val="none" w:sz="0" w:space="0" w:color="auto"/>
                <w:right w:val="none" w:sz="0" w:space="0" w:color="auto"/>
              </w:divBdr>
            </w:div>
            <w:div w:id="188298849">
              <w:marLeft w:val="0"/>
              <w:marRight w:val="0"/>
              <w:marTop w:val="0"/>
              <w:marBottom w:val="0"/>
              <w:divBdr>
                <w:top w:val="none" w:sz="0" w:space="0" w:color="auto"/>
                <w:left w:val="none" w:sz="0" w:space="0" w:color="auto"/>
                <w:bottom w:val="none" w:sz="0" w:space="0" w:color="auto"/>
                <w:right w:val="none" w:sz="0" w:space="0" w:color="auto"/>
              </w:divBdr>
            </w:div>
          </w:divsChild>
        </w:div>
        <w:div w:id="788359435">
          <w:marLeft w:val="0"/>
          <w:marRight w:val="0"/>
          <w:marTop w:val="0"/>
          <w:marBottom w:val="0"/>
          <w:divBdr>
            <w:top w:val="none" w:sz="0" w:space="0" w:color="auto"/>
            <w:left w:val="none" w:sz="0" w:space="0" w:color="auto"/>
            <w:bottom w:val="none" w:sz="0" w:space="0" w:color="auto"/>
            <w:right w:val="none" w:sz="0" w:space="0" w:color="auto"/>
          </w:divBdr>
        </w:div>
        <w:div w:id="1766145658">
          <w:marLeft w:val="0"/>
          <w:marRight w:val="0"/>
          <w:marTop w:val="0"/>
          <w:marBottom w:val="0"/>
          <w:divBdr>
            <w:top w:val="none" w:sz="0" w:space="0" w:color="auto"/>
            <w:left w:val="none" w:sz="0" w:space="0" w:color="auto"/>
            <w:bottom w:val="none" w:sz="0" w:space="0" w:color="auto"/>
            <w:right w:val="none" w:sz="0" w:space="0" w:color="auto"/>
          </w:divBdr>
        </w:div>
        <w:div w:id="1405107556">
          <w:marLeft w:val="0"/>
          <w:marRight w:val="0"/>
          <w:marTop w:val="0"/>
          <w:marBottom w:val="0"/>
          <w:divBdr>
            <w:top w:val="none" w:sz="0" w:space="0" w:color="auto"/>
            <w:left w:val="none" w:sz="0" w:space="0" w:color="auto"/>
            <w:bottom w:val="none" w:sz="0" w:space="0" w:color="auto"/>
            <w:right w:val="none" w:sz="0" w:space="0" w:color="auto"/>
          </w:divBdr>
        </w:div>
        <w:div w:id="12152821">
          <w:marLeft w:val="0"/>
          <w:marRight w:val="0"/>
          <w:marTop w:val="0"/>
          <w:marBottom w:val="0"/>
          <w:divBdr>
            <w:top w:val="none" w:sz="0" w:space="0" w:color="auto"/>
            <w:left w:val="none" w:sz="0" w:space="0" w:color="auto"/>
            <w:bottom w:val="none" w:sz="0" w:space="0" w:color="auto"/>
            <w:right w:val="none" w:sz="0" w:space="0" w:color="auto"/>
          </w:divBdr>
        </w:div>
        <w:div w:id="1015108825">
          <w:marLeft w:val="0"/>
          <w:marRight w:val="0"/>
          <w:marTop w:val="0"/>
          <w:marBottom w:val="0"/>
          <w:divBdr>
            <w:top w:val="none" w:sz="0" w:space="0" w:color="auto"/>
            <w:left w:val="none" w:sz="0" w:space="0" w:color="auto"/>
            <w:bottom w:val="none" w:sz="0" w:space="0" w:color="auto"/>
            <w:right w:val="none" w:sz="0" w:space="0" w:color="auto"/>
          </w:divBdr>
        </w:div>
        <w:div w:id="1695378919">
          <w:marLeft w:val="0"/>
          <w:marRight w:val="0"/>
          <w:marTop w:val="0"/>
          <w:marBottom w:val="0"/>
          <w:divBdr>
            <w:top w:val="none" w:sz="0" w:space="0" w:color="auto"/>
            <w:left w:val="none" w:sz="0" w:space="0" w:color="auto"/>
            <w:bottom w:val="none" w:sz="0" w:space="0" w:color="auto"/>
            <w:right w:val="none" w:sz="0" w:space="0" w:color="auto"/>
          </w:divBdr>
        </w:div>
      </w:divsChild>
    </w:div>
    <w:div w:id="1938516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STFM_Staff_Mac</cp:lastModifiedBy>
  <cp:revision>4</cp:revision>
  <dcterms:created xsi:type="dcterms:W3CDTF">2019-10-07T05:54:00Z</dcterms:created>
  <dcterms:modified xsi:type="dcterms:W3CDTF">2020-01-24T20:49:00Z</dcterms:modified>
</cp:coreProperties>
</file>