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B90A1" w14:textId="0486D61A" w:rsidR="00152E76" w:rsidRDefault="002443C5" w:rsidP="00152E76">
      <w:pPr>
        <w:pStyle w:val="ListParagraph"/>
      </w:pPr>
      <w:r>
        <w:t xml:space="preserve">National Clerkship Curriculum </w:t>
      </w:r>
    </w:p>
    <w:p w14:paraId="01E83D5E" w14:textId="77777777" w:rsidR="00152E76" w:rsidRDefault="00152E76" w:rsidP="00152E76">
      <w:pPr>
        <w:pStyle w:val="ListParagraph"/>
      </w:pPr>
    </w:p>
    <w:p w14:paraId="672D5DBE" w14:textId="4F8242C1" w:rsidR="00D70940" w:rsidRPr="00B40953" w:rsidRDefault="00152E76" w:rsidP="002443C5">
      <w:r>
        <w:t>Title</w:t>
      </w:r>
      <w:r w:rsidR="002443C5">
        <w:t>:</w:t>
      </w:r>
      <w:r w:rsidR="002443C5">
        <w:tab/>
      </w:r>
      <w:r w:rsidR="00D70940" w:rsidRPr="00B40953">
        <w:t>Self-Assessment in the Family Medicine Clerkship</w:t>
      </w:r>
    </w:p>
    <w:p w14:paraId="5272332A" w14:textId="77777777" w:rsidR="00D70940" w:rsidRDefault="00D70940" w:rsidP="00D70940">
      <w:pPr>
        <w:pStyle w:val="ListParagraph"/>
      </w:pPr>
    </w:p>
    <w:p w14:paraId="0221B6BE" w14:textId="4138094A" w:rsidR="00152E76" w:rsidRDefault="00152E76" w:rsidP="002443C5">
      <w:r>
        <w:t>Abstract</w:t>
      </w:r>
      <w:r w:rsidR="002443C5">
        <w:t>:</w:t>
      </w:r>
    </w:p>
    <w:p w14:paraId="626C3A63" w14:textId="22E08575" w:rsidR="00D70940" w:rsidRDefault="00D70940" w:rsidP="00D70940">
      <w:pPr>
        <w:pStyle w:val="ListParagraph"/>
      </w:pPr>
      <w:r w:rsidRPr="00D70940">
        <w:t xml:space="preserve">Students perform </w:t>
      </w:r>
      <w:r w:rsidR="000C6500">
        <w:t xml:space="preserve">a </w:t>
      </w:r>
      <w:r w:rsidRPr="00D70940">
        <w:t>self-assessment for personal development during the Family Medicine Clerkship at the Florida International University Herbert Wertheim College of Medicine</w:t>
      </w:r>
      <w:r w:rsidR="000C6500">
        <w:t xml:space="preserve"> (FIU HWCOM)</w:t>
      </w:r>
      <w:r w:rsidRPr="00D70940">
        <w:t xml:space="preserve">.  Self-assessment is a necessary skill used </w:t>
      </w:r>
      <w:r w:rsidR="000C6500">
        <w:t>throughout any physician’s career</w:t>
      </w:r>
      <w:r w:rsidRPr="00D70940">
        <w:t>. Students are asked to assess their strengths and weakness</w:t>
      </w:r>
      <w:r w:rsidR="008F196B">
        <w:t>es</w:t>
      </w:r>
      <w:r w:rsidRPr="00D70940">
        <w:t>,</w:t>
      </w:r>
      <w:r w:rsidR="008F196B">
        <w:t xml:space="preserve"> particularly in relation to interprofessional team work;</w:t>
      </w:r>
      <w:r w:rsidRPr="00D70940">
        <w:t xml:space="preserve"> discuss areas of self-improvement over the preceding months</w:t>
      </w:r>
      <w:r w:rsidR="008F196B">
        <w:t>;</w:t>
      </w:r>
      <w:r w:rsidR="008F196B" w:rsidRPr="00D70940">
        <w:t xml:space="preserve"> </w:t>
      </w:r>
      <w:r w:rsidRPr="00D70940">
        <w:t>and set goals for their professional development, along with an implementation strategy. Additionally students are asked to reflect on specific patient encounters that they have in relationship to the principles of Family Medicine, such as preventative care and continuity of care.</w:t>
      </w:r>
    </w:p>
    <w:p w14:paraId="6D08DDFA" w14:textId="77777777" w:rsidR="00D70940" w:rsidRDefault="00D70940" w:rsidP="00D70940">
      <w:pPr>
        <w:pStyle w:val="ListParagraph"/>
      </w:pPr>
    </w:p>
    <w:p w14:paraId="0838B3E3" w14:textId="77777777" w:rsidR="00152E76" w:rsidRDefault="00152E76" w:rsidP="002443C5">
      <w:r>
        <w:t>Curricular Focus</w:t>
      </w:r>
    </w:p>
    <w:p w14:paraId="4A159D2B" w14:textId="77777777" w:rsidR="00EC7121" w:rsidRPr="004C44D7" w:rsidRDefault="00EC7121" w:rsidP="00EC7121">
      <w:pPr>
        <w:pStyle w:val="ListParagraph"/>
        <w:ind w:left="1440"/>
        <w:rPr>
          <w:b/>
        </w:rPr>
      </w:pPr>
      <w:r w:rsidRPr="004C44D7">
        <w:rPr>
          <w:b/>
        </w:rPr>
        <w:t>FM Principles</w:t>
      </w:r>
    </w:p>
    <w:p w14:paraId="44364F26" w14:textId="77777777" w:rsidR="00EC7121" w:rsidRPr="004C44D7" w:rsidRDefault="00EC7121" w:rsidP="00EC7121">
      <w:pPr>
        <w:pStyle w:val="ListParagraph"/>
        <w:ind w:left="1440"/>
        <w:rPr>
          <w:b/>
        </w:rPr>
      </w:pPr>
      <w:r w:rsidRPr="004C44D7">
        <w:rPr>
          <w:b/>
        </w:rPr>
        <w:t>Role of FM</w:t>
      </w:r>
    </w:p>
    <w:p w14:paraId="728748C2" w14:textId="77777777" w:rsidR="00EC7121" w:rsidRDefault="00EC7121" w:rsidP="00EC7121">
      <w:pPr>
        <w:pStyle w:val="ListParagraph"/>
        <w:ind w:left="1440"/>
      </w:pPr>
    </w:p>
    <w:p w14:paraId="4AFF2027" w14:textId="77777777" w:rsidR="00152E76" w:rsidRDefault="00152E76" w:rsidP="002443C5">
      <w:r>
        <w:t>Authors and Institutions</w:t>
      </w:r>
    </w:p>
    <w:p w14:paraId="521EEB2B" w14:textId="77777777" w:rsidR="002443C5" w:rsidRDefault="002443C5" w:rsidP="002443C5">
      <w:pPr>
        <w:pStyle w:val="ListParagraph"/>
      </w:pPr>
      <w:r>
        <w:t xml:space="preserve">Suzanne Minor, MD, </w:t>
      </w:r>
      <w:r w:rsidR="00D70940">
        <w:t xml:space="preserve"> </w:t>
      </w:r>
    </w:p>
    <w:p w14:paraId="57028811" w14:textId="4853CE52" w:rsidR="00D70940" w:rsidRPr="002443C5" w:rsidRDefault="002443C5" w:rsidP="002443C5">
      <w:pPr>
        <w:pStyle w:val="ListParagraph"/>
        <w:rPr>
          <w:i/>
          <w:iCs/>
        </w:rPr>
      </w:pPr>
      <w:r w:rsidRPr="002443C5">
        <w:rPr>
          <w:i/>
          <w:iCs/>
        </w:rPr>
        <w:t>Florida International University Herbert Wertheim College of Medicine</w:t>
      </w:r>
      <w:r w:rsidR="00D70940" w:rsidRPr="002443C5">
        <w:rPr>
          <w:i/>
          <w:iCs/>
        </w:rPr>
        <w:t xml:space="preserve"> </w:t>
      </w:r>
    </w:p>
    <w:p w14:paraId="172AD31D" w14:textId="322278AA" w:rsidR="00D70940" w:rsidRDefault="002443C5" w:rsidP="00D70940">
      <w:pPr>
        <w:pStyle w:val="ListParagraph"/>
      </w:pPr>
      <w:r>
        <w:t>Seminor</w:t>
      </w:r>
      <w:r w:rsidR="00D70940">
        <w:t>@FIU.EDU</w:t>
      </w:r>
    </w:p>
    <w:p w14:paraId="60F1B854" w14:textId="77777777" w:rsidR="00D70940" w:rsidRDefault="00D70940" w:rsidP="00D70940">
      <w:pPr>
        <w:pStyle w:val="ListParagraph"/>
      </w:pPr>
    </w:p>
    <w:p w14:paraId="1887AF78" w14:textId="3F6B8400" w:rsidR="00D70940" w:rsidRDefault="00D70940" w:rsidP="00D70940">
      <w:pPr>
        <w:pStyle w:val="ListParagraph"/>
      </w:pPr>
      <w:r>
        <w:t xml:space="preserve">Sarah </w:t>
      </w:r>
      <w:proofErr w:type="spellStart"/>
      <w:r>
        <w:t>Stumbar</w:t>
      </w:r>
      <w:proofErr w:type="spellEnd"/>
      <w:r>
        <w:t>, MD, MPH</w:t>
      </w:r>
    </w:p>
    <w:p w14:paraId="2863510F" w14:textId="72F86C9C" w:rsidR="00D70940" w:rsidRPr="002443C5" w:rsidRDefault="00D70940" w:rsidP="00D70940">
      <w:pPr>
        <w:pStyle w:val="ListParagraph"/>
        <w:rPr>
          <w:i/>
          <w:iCs/>
        </w:rPr>
      </w:pPr>
      <w:r w:rsidRPr="002443C5">
        <w:rPr>
          <w:i/>
          <w:iCs/>
        </w:rPr>
        <w:t>Florida International University Herbert Wertheim College of Medicine</w:t>
      </w:r>
    </w:p>
    <w:p w14:paraId="0529645A" w14:textId="77777777" w:rsidR="00D70940" w:rsidRDefault="00D70940" w:rsidP="00D70940">
      <w:pPr>
        <w:pStyle w:val="ListParagraph"/>
      </w:pPr>
      <w:r>
        <w:t xml:space="preserve">Email: </w:t>
      </w:r>
      <w:hyperlink r:id="rId5" w:history="1">
        <w:r w:rsidRPr="00104B1C">
          <w:rPr>
            <w:rStyle w:val="Hyperlink"/>
          </w:rPr>
          <w:t>sstumbar@fiu.edu</w:t>
        </w:r>
      </w:hyperlink>
    </w:p>
    <w:p w14:paraId="4389BEB5" w14:textId="124BF2A9" w:rsidR="002443C5" w:rsidRDefault="002443C5" w:rsidP="002443C5">
      <w:r>
        <w:t>P</w:t>
      </w:r>
      <w:r w:rsidR="00152E76">
        <w:t>ublished elsewhere</w:t>
      </w:r>
      <w:r>
        <w:t xml:space="preserve">: </w:t>
      </w:r>
    </w:p>
    <w:p w14:paraId="06A8FA77" w14:textId="457964BC" w:rsidR="002443C5" w:rsidRPr="002443C5" w:rsidRDefault="002443C5" w:rsidP="002443C5">
      <w:pPr>
        <w:spacing w:after="0"/>
        <w:ind w:firstLine="720"/>
        <w:rPr>
          <w:rFonts w:cstheme="minorHAnsi"/>
        </w:rPr>
      </w:pPr>
      <w:r w:rsidRPr="002443C5">
        <w:rPr>
          <w:rFonts w:eastAsia="Times New Roman" w:cstheme="minorHAnsi"/>
          <w:color w:val="606060"/>
          <w:shd w:val="clear" w:color="auto" w:fill="FFFFFF"/>
        </w:rPr>
        <w:t>Older version p</w:t>
      </w:r>
      <w:r w:rsidRPr="002443C5">
        <w:rPr>
          <w:rFonts w:eastAsia="Times New Roman" w:cstheme="minorHAnsi"/>
          <w:color w:val="606060"/>
          <w:shd w:val="clear" w:color="auto" w:fill="FFFFFF"/>
        </w:rPr>
        <w:t xml:space="preserve">reviously </w:t>
      </w:r>
      <w:r w:rsidRPr="002443C5">
        <w:rPr>
          <w:rFonts w:eastAsia="Times New Roman" w:cstheme="minorHAnsi"/>
          <w:color w:val="606060"/>
          <w:shd w:val="clear" w:color="auto" w:fill="FFFFFF"/>
        </w:rPr>
        <w:t>published in</w:t>
      </w:r>
      <w:r w:rsidRPr="002443C5">
        <w:rPr>
          <w:rFonts w:eastAsia="Times New Roman" w:cstheme="minorHAnsi"/>
          <w:color w:val="606060"/>
          <w:shd w:val="clear" w:color="auto" w:fill="FFFFFF"/>
        </w:rPr>
        <w:t xml:space="preserve"> </w:t>
      </w:r>
      <w:r w:rsidRPr="002443C5">
        <w:rPr>
          <w:rFonts w:eastAsia="Times New Roman" w:cstheme="minorHAnsi"/>
          <w:color w:val="606060"/>
          <w:shd w:val="clear" w:color="auto" w:fill="FFFFFF"/>
        </w:rPr>
        <w:t>the Family Medicine Digital Resource Library</w:t>
      </w:r>
    </w:p>
    <w:p w14:paraId="56A4C686" w14:textId="77777777" w:rsidR="002443C5" w:rsidRDefault="002443C5" w:rsidP="002443C5"/>
    <w:p w14:paraId="0C303E82" w14:textId="06E10E78" w:rsidR="00152E76" w:rsidRDefault="002443C5" w:rsidP="002443C5">
      <w:r>
        <w:t>D</w:t>
      </w:r>
      <w:r w:rsidR="00152E76">
        <w:t>isclosure of financial relationships</w:t>
      </w:r>
    </w:p>
    <w:p w14:paraId="02F4BE68" w14:textId="7D3BB195" w:rsidR="002443C5" w:rsidRDefault="002443C5" w:rsidP="002443C5">
      <w:r>
        <w:tab/>
        <w:t>None</w:t>
      </w:r>
    </w:p>
    <w:p w14:paraId="31DABF32" w14:textId="77777777" w:rsidR="00152E76" w:rsidRDefault="00152E76" w:rsidP="002443C5">
      <w:r>
        <w:t>Clerkship Structure</w:t>
      </w:r>
    </w:p>
    <w:p w14:paraId="2FE59CF5" w14:textId="04430182" w:rsidR="00D70940" w:rsidRDefault="00D70940" w:rsidP="00D70940">
      <w:pPr>
        <w:pStyle w:val="ListParagraph"/>
      </w:pPr>
      <w:r w:rsidRPr="00D70940">
        <w:t>Since 2011, the Family Medicine clerkship at Florida International University Herbert Wertheim College of Medicine (HWCOM) has had several iterations and the self-assessment assignment has been a part of each iteration, including the initial longitudinal yearlong clerkship, as well as the 4, 6, and 8</w:t>
      </w:r>
      <w:r w:rsidR="002443C5">
        <w:t>-</w:t>
      </w:r>
      <w:r w:rsidRPr="00D70940">
        <w:t>week block rotations. At HWCOM, the third “year” or period of medical school is accelerated to facilitate integration of basic sciences and clinical knowledge, enabling the student to take Step 1 after this year of study ends.</w:t>
      </w:r>
      <w:r w:rsidRPr="00D70940">
        <w:rPr>
          <w:vertAlign w:val="superscript"/>
        </w:rPr>
        <w:t xml:space="preserve">1 </w:t>
      </w:r>
      <w:r w:rsidRPr="00D70940">
        <w:t xml:space="preserve"> </w:t>
      </w:r>
    </w:p>
    <w:p w14:paraId="16C33AE6" w14:textId="77777777" w:rsidR="00D70940" w:rsidRDefault="00D70940" w:rsidP="00D70940">
      <w:pPr>
        <w:pStyle w:val="ListParagraph"/>
      </w:pPr>
    </w:p>
    <w:p w14:paraId="5AB73F80" w14:textId="77777777" w:rsidR="00152E76" w:rsidRDefault="00152E76" w:rsidP="002443C5">
      <w:r>
        <w:lastRenderedPageBreak/>
        <w:t>NCC Objective Addressed</w:t>
      </w:r>
    </w:p>
    <w:p w14:paraId="430C094F" w14:textId="77777777" w:rsidR="00D70940" w:rsidRPr="000237AB" w:rsidRDefault="00D70940" w:rsidP="002443C5">
      <w:pPr>
        <w:ind w:left="720"/>
        <w:rPr>
          <w:bCs/>
          <w:iCs/>
        </w:rPr>
      </w:pPr>
      <w:r w:rsidRPr="000237AB">
        <w:rPr>
          <w:bCs/>
          <w:iCs/>
        </w:rPr>
        <w:t>The self-assessment aspect of the clerkship addresses the following learner objective from the STFM National Clerkship Curriculum:</w:t>
      </w:r>
    </w:p>
    <w:p w14:paraId="3FCE068C" w14:textId="77777777" w:rsidR="00D70940" w:rsidRPr="000237AB" w:rsidRDefault="00D70940" w:rsidP="00D70940">
      <w:pPr>
        <w:pStyle w:val="Pa4"/>
        <w:spacing w:after="0"/>
        <w:ind w:left="180" w:firstLine="540"/>
        <w:rPr>
          <w:rFonts w:ascii="Calibri" w:hAnsi="Calibri" w:cs="Times"/>
          <w:b/>
          <w:i/>
          <w:color w:val="000000"/>
          <w:szCs w:val="22"/>
        </w:rPr>
      </w:pPr>
      <w:r w:rsidRPr="000237AB">
        <w:rPr>
          <w:rFonts w:ascii="Calibri" w:hAnsi="Calibri" w:cs="Times"/>
          <w:b/>
          <w:i/>
          <w:color w:val="000000"/>
          <w:szCs w:val="22"/>
        </w:rPr>
        <w:t>Biopsychosocial model</w:t>
      </w:r>
    </w:p>
    <w:p w14:paraId="5DDE0372" w14:textId="77777777" w:rsidR="00D70940" w:rsidRPr="000237AB" w:rsidRDefault="00D70940" w:rsidP="00D70940">
      <w:pPr>
        <w:spacing w:after="0"/>
        <w:rPr>
          <w:i/>
        </w:rPr>
      </w:pPr>
      <w:r w:rsidRPr="00B40953">
        <w:tab/>
      </w:r>
      <w:r w:rsidRPr="000237AB">
        <w:rPr>
          <w:i/>
        </w:rPr>
        <w:t>Patient-centered communication skills</w:t>
      </w:r>
    </w:p>
    <w:p w14:paraId="29371D68" w14:textId="77777777" w:rsidR="00D70940" w:rsidRPr="000237AB" w:rsidRDefault="00D70940" w:rsidP="00D70940">
      <w:pPr>
        <w:numPr>
          <w:ilvl w:val="0"/>
          <w:numId w:val="2"/>
        </w:numPr>
        <w:spacing w:after="0" w:line="259" w:lineRule="auto"/>
      </w:pPr>
      <w:r w:rsidRPr="000237AB">
        <w:t>Use effective listening skills and empathy to improve patient adherence to medications and lifestyle changes.</w:t>
      </w:r>
    </w:p>
    <w:p w14:paraId="426FF553" w14:textId="77777777" w:rsidR="00D70940" w:rsidRPr="000237AB" w:rsidRDefault="00D70940" w:rsidP="00D70940">
      <w:pPr>
        <w:spacing w:after="0"/>
        <w:ind w:left="1800"/>
      </w:pPr>
    </w:p>
    <w:p w14:paraId="5C23431F" w14:textId="77777777" w:rsidR="00D70940" w:rsidRPr="000237AB" w:rsidRDefault="00D70940" w:rsidP="00D70940">
      <w:pPr>
        <w:spacing w:after="0"/>
        <w:ind w:left="720"/>
      </w:pPr>
      <w:r w:rsidRPr="00B40953">
        <w:rPr>
          <w:b/>
          <w:bCs/>
          <w:i/>
          <w:iCs/>
        </w:rPr>
        <w:t>Comprehensive Care</w:t>
      </w:r>
    </w:p>
    <w:p w14:paraId="4FD2F186" w14:textId="77777777" w:rsidR="00D70940" w:rsidRPr="000237AB" w:rsidRDefault="00D70940" w:rsidP="00D70940">
      <w:pPr>
        <w:spacing w:after="0"/>
        <w:ind w:left="720"/>
      </w:pPr>
      <w:r w:rsidRPr="000237AB">
        <w:rPr>
          <w:i/>
          <w:iCs/>
        </w:rPr>
        <w:t>Lifelong learning</w:t>
      </w:r>
    </w:p>
    <w:p w14:paraId="6A8885C8" w14:textId="77777777" w:rsidR="00D70940" w:rsidRPr="000237AB" w:rsidRDefault="00D70940" w:rsidP="00D70940">
      <w:pPr>
        <w:spacing w:after="0"/>
        <w:ind w:left="1440"/>
      </w:pPr>
      <w:r w:rsidRPr="000237AB">
        <w:t>• Assess and remediate one’s own learning needs.</w:t>
      </w:r>
    </w:p>
    <w:p w14:paraId="12813D46" w14:textId="77777777" w:rsidR="00D70940" w:rsidRPr="00B40953" w:rsidRDefault="00D70940" w:rsidP="00D70940">
      <w:pPr>
        <w:spacing w:after="0"/>
      </w:pPr>
    </w:p>
    <w:p w14:paraId="03186453" w14:textId="77777777" w:rsidR="00D70940" w:rsidRPr="000237AB" w:rsidRDefault="00D70940" w:rsidP="00D70940">
      <w:pPr>
        <w:pStyle w:val="Pa4"/>
        <w:spacing w:after="0"/>
        <w:ind w:left="180" w:hanging="180"/>
        <w:rPr>
          <w:rFonts w:ascii="Calibri" w:hAnsi="Calibri" w:cs="Times"/>
          <w:b/>
          <w:i/>
          <w:color w:val="000000"/>
          <w:szCs w:val="22"/>
        </w:rPr>
      </w:pPr>
      <w:r w:rsidRPr="000237AB">
        <w:rPr>
          <w:rFonts w:ascii="Calibri" w:hAnsi="Calibri" w:cs="Times"/>
          <w:color w:val="000000"/>
          <w:szCs w:val="22"/>
        </w:rPr>
        <w:tab/>
      </w:r>
      <w:r w:rsidRPr="000237AB">
        <w:rPr>
          <w:rFonts w:ascii="Calibri" w:hAnsi="Calibri" w:cs="Times"/>
          <w:color w:val="000000"/>
          <w:szCs w:val="22"/>
        </w:rPr>
        <w:tab/>
      </w:r>
      <w:r w:rsidRPr="000237AB">
        <w:rPr>
          <w:rFonts w:ascii="Calibri" w:hAnsi="Calibri" w:cs="Times"/>
          <w:b/>
          <w:i/>
          <w:color w:val="000000"/>
          <w:szCs w:val="22"/>
        </w:rPr>
        <w:t>Continuity of Care</w:t>
      </w:r>
    </w:p>
    <w:p w14:paraId="59CD78FA" w14:textId="77777777" w:rsidR="00D70940" w:rsidRPr="000237AB" w:rsidRDefault="00D70940" w:rsidP="00D70940">
      <w:pPr>
        <w:spacing w:after="0"/>
        <w:rPr>
          <w:i/>
        </w:rPr>
      </w:pPr>
      <w:r w:rsidRPr="00B40953">
        <w:tab/>
      </w:r>
      <w:r w:rsidRPr="000237AB">
        <w:rPr>
          <w:i/>
        </w:rPr>
        <w:t>Barriers to access</w:t>
      </w:r>
    </w:p>
    <w:p w14:paraId="3AA6EAD6" w14:textId="77777777" w:rsidR="00D70940" w:rsidRPr="000237AB" w:rsidRDefault="00D70940" w:rsidP="00D70940">
      <w:pPr>
        <w:numPr>
          <w:ilvl w:val="0"/>
          <w:numId w:val="2"/>
        </w:numPr>
        <w:spacing w:after="0" w:line="259" w:lineRule="auto"/>
      </w:pPr>
      <w:r w:rsidRPr="000237AB">
        <w:t>Describe the barriers stemming from the health care system that affect the ability of patients to obtain and use health care (</w:t>
      </w:r>
      <w:proofErr w:type="spellStart"/>
      <w:r w:rsidRPr="000237AB">
        <w:t>ie</w:t>
      </w:r>
      <w:proofErr w:type="spellEnd"/>
      <w:r w:rsidRPr="000237AB">
        <w:t>. high cost of health care, increasing number of uninsured and under-insured individuals).</w:t>
      </w:r>
    </w:p>
    <w:p w14:paraId="308BE052" w14:textId="77777777" w:rsidR="00D70940" w:rsidRPr="00B40953" w:rsidRDefault="00D70940" w:rsidP="00D70940">
      <w:pPr>
        <w:spacing w:after="0"/>
        <w:ind w:left="1800"/>
      </w:pPr>
    </w:p>
    <w:p w14:paraId="012975B2" w14:textId="77777777" w:rsidR="00D70940" w:rsidRPr="000237AB" w:rsidRDefault="00D70940" w:rsidP="00D70940">
      <w:pPr>
        <w:pStyle w:val="Pa4"/>
        <w:spacing w:after="0"/>
        <w:ind w:left="180" w:firstLine="540"/>
        <w:rPr>
          <w:rFonts w:ascii="Calibri" w:hAnsi="Calibri" w:cs="Times"/>
          <w:b/>
          <w:i/>
          <w:color w:val="000000"/>
          <w:szCs w:val="22"/>
        </w:rPr>
      </w:pPr>
      <w:r w:rsidRPr="000237AB">
        <w:rPr>
          <w:rFonts w:ascii="Calibri" w:hAnsi="Calibri" w:cs="Times"/>
          <w:b/>
          <w:i/>
          <w:color w:val="000000"/>
          <w:szCs w:val="22"/>
        </w:rPr>
        <w:t>Coordination/Complexity of Care</w:t>
      </w:r>
    </w:p>
    <w:p w14:paraId="2E94E137" w14:textId="77777777" w:rsidR="00D70940" w:rsidRPr="000237AB" w:rsidRDefault="00D70940" w:rsidP="00D70940">
      <w:pPr>
        <w:spacing w:after="0"/>
        <w:rPr>
          <w:i/>
        </w:rPr>
      </w:pPr>
      <w:r w:rsidRPr="00B40953">
        <w:tab/>
      </w:r>
      <w:r w:rsidRPr="000237AB">
        <w:rPr>
          <w:i/>
        </w:rPr>
        <w:t>Team approach</w:t>
      </w:r>
    </w:p>
    <w:p w14:paraId="2090D3A0" w14:textId="77777777" w:rsidR="00D70940" w:rsidRPr="000237AB" w:rsidRDefault="00D70940" w:rsidP="00D70940">
      <w:pPr>
        <w:numPr>
          <w:ilvl w:val="0"/>
          <w:numId w:val="2"/>
        </w:numPr>
        <w:spacing w:after="0" w:line="259" w:lineRule="auto"/>
      </w:pPr>
      <w:r w:rsidRPr="000237AB">
        <w:t>Participate as an effective member of a clinical care team.</w:t>
      </w:r>
    </w:p>
    <w:p w14:paraId="6F135B87" w14:textId="77777777" w:rsidR="00D70940" w:rsidRDefault="00D70940" w:rsidP="00D70940">
      <w:pPr>
        <w:pStyle w:val="ListParagraph"/>
      </w:pPr>
    </w:p>
    <w:p w14:paraId="54AB4DA7" w14:textId="77777777" w:rsidR="00152E76" w:rsidRDefault="003A7D70" w:rsidP="002443C5">
      <w:r>
        <w:t>AAMC EPA’s Addressed</w:t>
      </w:r>
    </w:p>
    <w:p w14:paraId="373B983F" w14:textId="77777777" w:rsidR="003A7D70" w:rsidRPr="00D70940" w:rsidRDefault="003A7D70" w:rsidP="003A7D70">
      <w:pPr>
        <w:pStyle w:val="ListParagraph"/>
        <w:rPr>
          <w:b/>
        </w:rPr>
      </w:pPr>
      <w:r w:rsidRPr="00D70940">
        <w:rPr>
          <w:b/>
        </w:rPr>
        <w:t>EPA 9 Collaborate as a Member of an Interprofessional Team</w:t>
      </w:r>
    </w:p>
    <w:p w14:paraId="01E78E80" w14:textId="77777777" w:rsidR="002443C5" w:rsidRDefault="002443C5" w:rsidP="002443C5">
      <w:pPr>
        <w:pStyle w:val="ListParagraph"/>
      </w:pPr>
    </w:p>
    <w:p w14:paraId="0F6FE3A1" w14:textId="64548798" w:rsidR="00D70940" w:rsidRDefault="00152E76" w:rsidP="002443C5">
      <w:r>
        <w:t xml:space="preserve">Program Content and Educational Methods </w:t>
      </w:r>
    </w:p>
    <w:p w14:paraId="527C4E1C" w14:textId="29F4F5D8" w:rsidR="00D70940" w:rsidRDefault="00D70940" w:rsidP="00D70940">
      <w:pPr>
        <w:pStyle w:val="ListParagraph"/>
      </w:pPr>
      <w:r>
        <w:t xml:space="preserve">Self-assessment is a necessary skill used throughout </w:t>
      </w:r>
      <w:r w:rsidR="000C6500">
        <w:t xml:space="preserve">any </w:t>
      </w:r>
      <w:r>
        <w:t>physician’s career. Many residencies and hospitals require periodic self-assessments by physicians. This assignment facilitates the students</w:t>
      </w:r>
      <w:r w:rsidR="000C6500">
        <w:t>’</w:t>
      </w:r>
      <w:r>
        <w:t xml:space="preserve"> cultivation of this </w:t>
      </w:r>
      <w:proofErr w:type="gramStart"/>
      <w:r>
        <w:t>skill</w:t>
      </w:r>
      <w:r w:rsidR="008F196B">
        <w:t>,</w:t>
      </w:r>
      <w:r w:rsidR="002443C5">
        <w:t xml:space="preserve"> </w:t>
      </w:r>
      <w:r w:rsidR="008F196B">
        <w:t>and</w:t>
      </w:r>
      <w:proofErr w:type="gramEnd"/>
      <w:r w:rsidR="008F196B">
        <w:t xml:space="preserve"> asks s</w:t>
      </w:r>
      <w:r>
        <w:t xml:space="preserve">tudents </w:t>
      </w:r>
      <w:r w:rsidR="008F196B">
        <w:t xml:space="preserve">to </w:t>
      </w:r>
      <w:r>
        <w:t xml:space="preserve">set goals for </w:t>
      </w:r>
      <w:r w:rsidR="008F196B">
        <w:t xml:space="preserve">their </w:t>
      </w:r>
      <w:r>
        <w:t xml:space="preserve">professional development and provide an implementation strategy. For the self-assessment assignment, students answer the following questions. They are instructed that the assignment should be approximately three pages, typed, and double-spaced; and each answer should be, at a minimum, several sentences in length. </w:t>
      </w:r>
    </w:p>
    <w:p w14:paraId="05CD71F9" w14:textId="10143E5E" w:rsidR="00D70940" w:rsidRDefault="00D70940" w:rsidP="00D70940">
      <w:pPr>
        <w:pStyle w:val="ListParagraph"/>
        <w:numPr>
          <w:ilvl w:val="0"/>
          <w:numId w:val="3"/>
        </w:numPr>
      </w:pPr>
      <w:r>
        <w:t xml:space="preserve">Overall assessment of my well-being (including work/personal life balance) over the past </w:t>
      </w:r>
      <w:proofErr w:type="gramStart"/>
      <w:r w:rsidR="002443C5">
        <w:t xml:space="preserve">6 </w:t>
      </w:r>
      <w:r>
        <w:t xml:space="preserve"> months</w:t>
      </w:r>
      <w:proofErr w:type="gramEnd"/>
      <w:r>
        <w:t xml:space="preserve"> </w:t>
      </w:r>
    </w:p>
    <w:p w14:paraId="359A2337" w14:textId="77777777" w:rsidR="00D70940" w:rsidRDefault="00D70940" w:rsidP="00D70940">
      <w:pPr>
        <w:pStyle w:val="ListParagraph"/>
        <w:numPr>
          <w:ilvl w:val="0"/>
          <w:numId w:val="3"/>
        </w:numPr>
      </w:pPr>
      <w:r>
        <w:t>What can I take away from this rotation that will be helpful in my desired field or my future as a physician?</w:t>
      </w:r>
    </w:p>
    <w:p w14:paraId="7545D2F0" w14:textId="77777777" w:rsidR="00D70940" w:rsidRDefault="00D70940" w:rsidP="00D70940">
      <w:pPr>
        <w:pStyle w:val="ListParagraph"/>
        <w:numPr>
          <w:ilvl w:val="0"/>
          <w:numId w:val="3"/>
        </w:numPr>
      </w:pPr>
      <w:r>
        <w:t xml:space="preserve">Two strengths of my performance over the past six months are: </w:t>
      </w:r>
    </w:p>
    <w:p w14:paraId="12BA38DA" w14:textId="77777777" w:rsidR="00D70940" w:rsidRDefault="00D70940" w:rsidP="00D70940">
      <w:pPr>
        <w:pStyle w:val="ListParagraph"/>
        <w:numPr>
          <w:ilvl w:val="0"/>
          <w:numId w:val="3"/>
        </w:numPr>
      </w:pPr>
      <w:r>
        <w:t xml:space="preserve">Two areas of new learning and professional development over the past 6 months are: </w:t>
      </w:r>
    </w:p>
    <w:p w14:paraId="0D23B9D2" w14:textId="77777777" w:rsidR="00D70940" w:rsidRDefault="00D70940" w:rsidP="00D70940">
      <w:pPr>
        <w:pStyle w:val="ListParagraph"/>
        <w:numPr>
          <w:ilvl w:val="0"/>
          <w:numId w:val="3"/>
        </w:numPr>
      </w:pPr>
      <w:r>
        <w:t xml:space="preserve">Describe what I did well in one situation in which I recently used motivational interviewing: </w:t>
      </w:r>
    </w:p>
    <w:p w14:paraId="2E9C70BA" w14:textId="77777777" w:rsidR="00D70940" w:rsidRDefault="00D70940" w:rsidP="00D70940">
      <w:pPr>
        <w:pStyle w:val="ListParagraph"/>
        <w:numPr>
          <w:ilvl w:val="0"/>
          <w:numId w:val="3"/>
        </w:numPr>
      </w:pPr>
      <w:r>
        <w:t>What could I have improved in the motivational interviewing situation described above?</w:t>
      </w:r>
    </w:p>
    <w:p w14:paraId="429D5554" w14:textId="77777777" w:rsidR="00D70940" w:rsidRDefault="00D70940" w:rsidP="00D70940">
      <w:pPr>
        <w:pStyle w:val="ListParagraph"/>
        <w:numPr>
          <w:ilvl w:val="0"/>
          <w:numId w:val="3"/>
        </w:numPr>
      </w:pPr>
      <w:r>
        <w:t xml:space="preserve">Describe a patient interaction you participated in or observed in which you addressed a patient’s financial considerations that affected medical care recommendations and your response to that situation. </w:t>
      </w:r>
    </w:p>
    <w:p w14:paraId="28DF557A" w14:textId="77777777" w:rsidR="00D70940" w:rsidRDefault="00D70940" w:rsidP="00D70940">
      <w:pPr>
        <w:pStyle w:val="ListParagraph"/>
        <w:numPr>
          <w:ilvl w:val="0"/>
          <w:numId w:val="3"/>
        </w:numPr>
      </w:pPr>
      <w:r>
        <w:t>Describe a patient interaction in which you addressed or considered prevention to enhance patient care.</w:t>
      </w:r>
    </w:p>
    <w:p w14:paraId="1ADEFA9F" w14:textId="77777777" w:rsidR="00D70940" w:rsidRDefault="00D70940" w:rsidP="00D70940">
      <w:pPr>
        <w:pStyle w:val="ListParagraph"/>
        <w:numPr>
          <w:ilvl w:val="0"/>
          <w:numId w:val="3"/>
        </w:numPr>
      </w:pPr>
      <w:r>
        <w:t>Describe a patient interaction in which continuity of care and/or coordination of care enhanced patient care.</w:t>
      </w:r>
    </w:p>
    <w:p w14:paraId="77415C4E" w14:textId="77777777" w:rsidR="00D70940" w:rsidRDefault="00D70940" w:rsidP="00D70940">
      <w:pPr>
        <w:pStyle w:val="ListParagraph"/>
        <w:numPr>
          <w:ilvl w:val="0"/>
          <w:numId w:val="3"/>
        </w:numPr>
      </w:pPr>
      <w:r>
        <w:t xml:space="preserve">One strength and one weakness regarding my capacity for peer relationships and teamwork are: </w:t>
      </w:r>
    </w:p>
    <w:p w14:paraId="217F2588" w14:textId="77777777" w:rsidR="00D70940" w:rsidRDefault="00D70940" w:rsidP="00D70940">
      <w:pPr>
        <w:pStyle w:val="ListParagraph"/>
        <w:numPr>
          <w:ilvl w:val="0"/>
          <w:numId w:val="3"/>
        </w:numPr>
      </w:pPr>
      <w:r>
        <w:t xml:space="preserve">Two areas in which I desire or need further learning and improvement are: </w:t>
      </w:r>
    </w:p>
    <w:p w14:paraId="25CF9C5D" w14:textId="77777777" w:rsidR="00D70940" w:rsidRDefault="00D70940" w:rsidP="00D70940">
      <w:pPr>
        <w:pStyle w:val="ListParagraph"/>
        <w:numPr>
          <w:ilvl w:val="0"/>
          <w:numId w:val="3"/>
        </w:numPr>
      </w:pPr>
      <w:r>
        <w:t>My specific plan for improving one specific issue (discussed in either #10 or #11) in which I desire further learning and improvement (use SMART – specific, measurable, achievable, relevant, time-framed):</w:t>
      </w:r>
    </w:p>
    <w:p w14:paraId="28AE59FA" w14:textId="77777777" w:rsidR="00D70940" w:rsidRDefault="00D70940" w:rsidP="00D70940">
      <w:pPr>
        <w:pStyle w:val="ListParagraph"/>
      </w:pPr>
    </w:p>
    <w:p w14:paraId="43BE9C85" w14:textId="2562885D" w:rsidR="00D70940" w:rsidRDefault="00D70940" w:rsidP="00D70940">
      <w:pPr>
        <w:pStyle w:val="ListParagraph"/>
      </w:pPr>
      <w:r>
        <w:t xml:space="preserve">Initially, a shorter version of this assignment was given in a longitudinal clerkship structure and it was repeated three times over the course of the third </w:t>
      </w:r>
      <w:r w:rsidR="008F196B">
        <w:t xml:space="preserve">year of study </w:t>
      </w:r>
      <w:r>
        <w:t xml:space="preserve">(near the beginning of the year, just before midway through the year, and again near the end of the year). In this original iteration, the assignment focused more specifically on the student’s evaluation of his/her own wellbeing over the past six months, as well as an assessment of his/her strengths and weaknesses; and a specific plan for addressing an area of potential improvement over the coming months. </w:t>
      </w:r>
    </w:p>
    <w:p w14:paraId="028765D9" w14:textId="77777777" w:rsidR="00D70940" w:rsidRDefault="00D70940" w:rsidP="00D70940">
      <w:pPr>
        <w:pStyle w:val="ListParagraph"/>
      </w:pPr>
    </w:p>
    <w:p w14:paraId="1F5AECE8" w14:textId="6D108BDB" w:rsidR="00D70940" w:rsidRDefault="00D70940" w:rsidP="00D70940">
      <w:pPr>
        <w:pStyle w:val="ListParagraph"/>
      </w:pPr>
      <w:r>
        <w:t xml:space="preserve">After the initial year as a longitudinal rotation, the Family Medicine Clerkship at </w:t>
      </w:r>
      <w:r w:rsidR="000C6500">
        <w:t xml:space="preserve">FIU </w:t>
      </w:r>
      <w:r>
        <w:t xml:space="preserve">HWCOM evolved from a longitudinal yearlong experience to a block rotation.  As a block, the clerkship has been 4, 6, and 8 weeks. Now, with the clerkship as an 8 week rotation, the longer version of the self-assessment assignment, as outlined above, is completed just once, and is due at the end of the second week of the rotation. </w:t>
      </w:r>
    </w:p>
    <w:p w14:paraId="1381FA3C" w14:textId="77777777" w:rsidR="000455F3" w:rsidRDefault="000455F3" w:rsidP="00D70940">
      <w:pPr>
        <w:pStyle w:val="ListParagraph"/>
      </w:pPr>
    </w:p>
    <w:p w14:paraId="7C697FD3" w14:textId="5463492E" w:rsidR="000455F3" w:rsidRDefault="000455F3" w:rsidP="00D70940">
      <w:pPr>
        <w:pStyle w:val="ListParagraph"/>
      </w:pPr>
      <w:r>
        <w:t>Students at our institution participate in a</w:t>
      </w:r>
      <w:r w:rsidR="00B800EA">
        <w:t xml:space="preserve">n interprofessional curriculum that begins in the first year of medical school.  However, it is not necessary for students to have training in interprofessional work to complete the self-assessment assignment. </w:t>
      </w:r>
      <w:r w:rsidR="000C6500">
        <w:t>Anecdotally, most students discuss their experience working on interprofessional teams in the hospital or with nursing staff in the clinic setting.</w:t>
      </w:r>
    </w:p>
    <w:p w14:paraId="7E3F472A" w14:textId="77777777" w:rsidR="00D70940" w:rsidRDefault="00D70940" w:rsidP="00D70940">
      <w:pPr>
        <w:pStyle w:val="ListParagraph"/>
      </w:pPr>
    </w:p>
    <w:p w14:paraId="5C9A00A8" w14:textId="6ACEE870" w:rsidR="00D70940" w:rsidRDefault="00D70940" w:rsidP="00D70940">
      <w:pPr>
        <w:pStyle w:val="ListParagraph"/>
      </w:pPr>
      <w:r>
        <w:t>The student’s completed self-assessment is discussed during meetings with faculty for formal formative feedback. The student may also use this as a tool for professional development and guidance with their</w:t>
      </w:r>
      <w:r w:rsidR="008F196B">
        <w:t xml:space="preserve"> a</w:t>
      </w:r>
      <w:r>
        <w:t xml:space="preserve">cademic </w:t>
      </w:r>
      <w:r w:rsidR="008F196B">
        <w:t>a</w:t>
      </w:r>
      <w:r>
        <w:t xml:space="preserve">dvisor or </w:t>
      </w:r>
      <w:r w:rsidR="008F196B">
        <w:t>m</w:t>
      </w:r>
      <w:r>
        <w:t>entor. The student’s self-reported strengths are also included as a sentence in the Family Medicine Clerkship dean’s letter statement.</w:t>
      </w:r>
    </w:p>
    <w:p w14:paraId="1B18042D" w14:textId="77777777" w:rsidR="00D70940" w:rsidRDefault="00D70940" w:rsidP="00D70940">
      <w:pPr>
        <w:pStyle w:val="ListParagraph"/>
      </w:pPr>
    </w:p>
    <w:p w14:paraId="193CFF4D" w14:textId="541AE2FF" w:rsidR="002443C5" w:rsidRPr="002443C5" w:rsidRDefault="002443C5" w:rsidP="002443C5">
      <w:pPr>
        <w:rPr>
          <w:rFonts w:cstheme="minorHAnsi"/>
        </w:rPr>
      </w:pPr>
      <w:r w:rsidRPr="002443C5">
        <w:rPr>
          <w:rFonts w:cstheme="minorHAnsi"/>
          <w:color w:val="606060"/>
          <w:shd w:val="clear" w:color="auto" w:fill="FFFFFF"/>
        </w:rPr>
        <w:t xml:space="preserve">Please match your educational methods with those listed below in accordance with the National Clerkship Curriculum. </w:t>
      </w:r>
    </w:p>
    <w:p w14:paraId="3BDA5673" w14:textId="10CABE74" w:rsidR="00152E76" w:rsidRPr="00D70940" w:rsidRDefault="00152E76" w:rsidP="00152E76">
      <w:pPr>
        <w:pStyle w:val="ListParagraph"/>
        <w:ind w:left="1440"/>
        <w:rPr>
          <w:b/>
        </w:rPr>
      </w:pPr>
      <w:r w:rsidRPr="00D70940">
        <w:rPr>
          <w:b/>
        </w:rPr>
        <w:t>Reflection</w:t>
      </w:r>
    </w:p>
    <w:p w14:paraId="1C629B24" w14:textId="77777777" w:rsidR="00D70940" w:rsidRDefault="00D70940" w:rsidP="00152E76">
      <w:pPr>
        <w:pStyle w:val="ListParagraph"/>
        <w:ind w:left="1440"/>
      </w:pPr>
    </w:p>
    <w:p w14:paraId="1D5E7EB4" w14:textId="77777777" w:rsidR="002443C5" w:rsidRDefault="002443C5" w:rsidP="002443C5"/>
    <w:p w14:paraId="30312201" w14:textId="77777777" w:rsidR="002443C5" w:rsidRDefault="002443C5" w:rsidP="002443C5"/>
    <w:p w14:paraId="0DE6865A" w14:textId="4D2F71E4" w:rsidR="00D70940" w:rsidRDefault="00152E76" w:rsidP="002443C5">
      <w:r w:rsidRPr="00152E76">
        <w:t>Assessment Strategies to achieve outcomes</w:t>
      </w:r>
      <w:r>
        <w:t xml:space="preserve"> </w:t>
      </w:r>
    </w:p>
    <w:p w14:paraId="5FBCEF1A" w14:textId="2A77BD90" w:rsidR="00D70940" w:rsidRDefault="00D70940" w:rsidP="00D70940">
      <w:pPr>
        <w:pStyle w:val="ListParagraph"/>
      </w:pPr>
      <w:r w:rsidRPr="000237AB">
        <w:t>The student may receive up to three percent of the final clerkship grade for the self-assessment assignment. The rubric used to assess this assignment can be found in Appendix A. Students lose 0.5 points for every day late that the assignment is submitted. Students receive full credit for an assignment that pr</w:t>
      </w:r>
      <w:r w:rsidRPr="006E5E47">
        <w:t>ovides consistently thoughtful and insightful answers and is handed in on time.</w:t>
      </w:r>
      <w:r w:rsidR="000C6500">
        <w:t xml:space="preserve"> When this assignment was graded as Pass/Fail, we found that students did not put in a sufficient amount of effort; however, even with just a 3 percent contribution to the final course grade, the vast majority of students provide thoughtful answers to the assignment’s questions.</w:t>
      </w:r>
    </w:p>
    <w:p w14:paraId="7518E9C9" w14:textId="77777777" w:rsidR="002443C5" w:rsidRDefault="002443C5" w:rsidP="00D70940">
      <w:pPr>
        <w:pStyle w:val="ListParagraph"/>
      </w:pPr>
    </w:p>
    <w:p w14:paraId="4EB00791" w14:textId="2CD7FD30" w:rsidR="002443C5" w:rsidRPr="000237AB" w:rsidRDefault="002443C5" w:rsidP="00D70940">
      <w:pPr>
        <w:pStyle w:val="ListParagraph"/>
      </w:pPr>
      <w:r w:rsidRPr="002443C5">
        <w:t xml:space="preserve">Please match your strategies with those listed below in accordance with the National Clerkship Curriculum. </w:t>
      </w:r>
    </w:p>
    <w:p w14:paraId="38D36E7C" w14:textId="77777777" w:rsidR="00152E76" w:rsidRPr="002443C5" w:rsidRDefault="00152E76" w:rsidP="002443C5">
      <w:pPr>
        <w:ind w:left="720" w:firstLine="720"/>
        <w:rPr>
          <w:b/>
        </w:rPr>
      </w:pPr>
      <w:r w:rsidRPr="002443C5">
        <w:rPr>
          <w:b/>
        </w:rPr>
        <w:t>Student Assessment &amp; Evaluation (Are your students learning?)</w:t>
      </w:r>
    </w:p>
    <w:p w14:paraId="2D4433C2" w14:textId="77777777" w:rsidR="00D70940" w:rsidRDefault="00D70940" w:rsidP="00152E76">
      <w:pPr>
        <w:pStyle w:val="ListParagraph"/>
        <w:ind w:left="1440"/>
      </w:pPr>
    </w:p>
    <w:p w14:paraId="2C826F32" w14:textId="77777777" w:rsidR="00152E76" w:rsidRDefault="00152E76" w:rsidP="002443C5">
      <w:r>
        <w:t>Lessons Learned</w:t>
      </w:r>
    </w:p>
    <w:p w14:paraId="22F0A336" w14:textId="4504165C" w:rsidR="00D70940" w:rsidRPr="006E5E47" w:rsidRDefault="00D70940" w:rsidP="00D70940">
      <w:pPr>
        <w:pStyle w:val="ListParagraph"/>
      </w:pPr>
      <w:r w:rsidRPr="006E5E47">
        <w:t>An</w:t>
      </w:r>
      <w:r>
        <w:t xml:space="preserve"> important </w:t>
      </w:r>
      <w:r w:rsidRPr="006E5E47">
        <w:t xml:space="preserve">lesson learned was the necessity of discussing why assignments </w:t>
      </w:r>
      <w:r w:rsidR="008F196B">
        <w:t>are</w:t>
      </w:r>
      <w:r w:rsidR="008F196B" w:rsidRPr="006E5E47">
        <w:t xml:space="preserve"> </w:t>
      </w:r>
      <w:r w:rsidRPr="006E5E47">
        <w:t xml:space="preserve">of value to the learner. Without an explanation of the assignment’s importance, students simply did not buy in to the assignment and were skeptical and closed to the learning opportunity. </w:t>
      </w:r>
      <w:r w:rsidR="008F196B">
        <w:t>Now, w</w:t>
      </w:r>
      <w:r w:rsidRPr="006E5E47">
        <w:t>hen the assignment is presented to students</w:t>
      </w:r>
      <w:r w:rsidR="008F196B">
        <w:t xml:space="preserve"> during the Family Medicine Clerkship orientation and in the syllabus</w:t>
      </w:r>
      <w:r w:rsidRPr="006E5E47">
        <w:t xml:space="preserve">, it is explained that its purpose is for them to learn firsthand about why completing self-assessments may be helpful in the future; physicians must self-assess, either formally or informally, throughout their careers. </w:t>
      </w:r>
      <w:r w:rsidR="008F196B">
        <w:t>After the first year of students, t</w:t>
      </w:r>
      <w:r w:rsidRPr="006E5E47">
        <w:t>he syllabus was amended so that th</w:t>
      </w:r>
      <w:r>
        <w:t>is</w:t>
      </w:r>
      <w:r w:rsidRPr="006E5E47">
        <w:t xml:space="preserve"> justification is clearly written for all assignments</w:t>
      </w:r>
      <w:r w:rsidR="008F196B">
        <w:t>, including the self-assessment</w:t>
      </w:r>
      <w:r w:rsidRPr="006E5E47">
        <w:t>.</w:t>
      </w:r>
    </w:p>
    <w:p w14:paraId="04B2247D" w14:textId="77777777" w:rsidR="00D70940" w:rsidRDefault="00D70940" w:rsidP="00D70940">
      <w:pPr>
        <w:pStyle w:val="ListParagraph"/>
      </w:pPr>
    </w:p>
    <w:p w14:paraId="412E8908" w14:textId="374F050B" w:rsidR="00D70940" w:rsidRPr="006E5E47" w:rsidRDefault="00D70940" w:rsidP="00D70940">
      <w:pPr>
        <w:pStyle w:val="ListParagraph"/>
      </w:pPr>
      <w:r w:rsidRPr="006E5E47">
        <w:t xml:space="preserve">It takes a significant amount of time to read the self-assessments.  As </w:t>
      </w:r>
      <w:r w:rsidR="000C6500">
        <w:t xml:space="preserve">FIU </w:t>
      </w:r>
      <w:r w:rsidRPr="006E5E47">
        <w:t xml:space="preserve">HWCOM expanded and </w:t>
      </w:r>
      <w:r w:rsidR="008F196B">
        <w:t xml:space="preserve">the </w:t>
      </w:r>
      <w:r w:rsidRPr="006E5E47">
        <w:t xml:space="preserve">class size grew from 40 to 120, </w:t>
      </w:r>
      <w:r>
        <w:t xml:space="preserve">clerkship director </w:t>
      </w:r>
      <w:r w:rsidRPr="006E5E47">
        <w:t xml:space="preserve">time became a more limited resource. Though reading the self-assessments and giving comments takes time for the clerkship director, the task is enjoyable and fulfilling, organizing an overall picture of the educational, professional and personal needs of each student and class. </w:t>
      </w:r>
      <w:r w:rsidRPr="00B40953">
        <w:t xml:space="preserve">The information learned from the self-assessments also </w:t>
      </w:r>
      <w:r w:rsidRPr="000237AB">
        <w:t xml:space="preserve">has </w:t>
      </w:r>
      <w:r w:rsidR="008F196B">
        <w:t xml:space="preserve">been used to </w:t>
      </w:r>
      <w:r w:rsidRPr="000237AB">
        <w:t>educate</w:t>
      </w:r>
      <w:r w:rsidR="008F196B">
        <w:t xml:space="preserve"> community and full-time</w:t>
      </w:r>
      <w:r w:rsidRPr="000237AB">
        <w:t xml:space="preserve"> faculty on how to communicate more effectively with students and how to relate </w:t>
      </w:r>
      <w:r w:rsidR="00A87CC5">
        <w:t xml:space="preserve">clinical </w:t>
      </w:r>
      <w:r w:rsidRPr="000237AB">
        <w:t>case</w:t>
      </w:r>
      <w:r>
        <w:t>s</w:t>
      </w:r>
      <w:r w:rsidRPr="000237AB">
        <w:t xml:space="preserve"> to </w:t>
      </w:r>
      <w:r w:rsidR="00EB49D3">
        <w:t>each student’s</w:t>
      </w:r>
      <w:r w:rsidR="00EB49D3" w:rsidRPr="000237AB">
        <w:t xml:space="preserve"> </w:t>
      </w:r>
      <w:r w:rsidRPr="000237AB">
        <w:t xml:space="preserve">current learning priorities. </w:t>
      </w:r>
      <w:r w:rsidR="00EB49D3">
        <w:t>For example, many students report wanting to work on their knowledge of antibiotics and on their development of differential diagnoses; it has been very effective to use this information when discussing teaching at the point of care with our preceptors. Additionally, w</w:t>
      </w:r>
      <w:r w:rsidR="00A87CC5">
        <w:t xml:space="preserve">e learned </w:t>
      </w:r>
      <w:r w:rsidR="00EB49D3">
        <w:t>that students listen to other students</w:t>
      </w:r>
      <w:r w:rsidR="00A87CC5">
        <w:t xml:space="preserve">.  For instance, </w:t>
      </w:r>
      <w:r w:rsidR="00612E62">
        <w:t xml:space="preserve">using a student’s </w:t>
      </w:r>
      <w:r w:rsidR="00EB49D3">
        <w:t xml:space="preserve">own </w:t>
      </w:r>
      <w:r w:rsidR="00612E62">
        <w:t xml:space="preserve">words </w:t>
      </w:r>
      <w:r w:rsidR="00EB49D3">
        <w:t>is</w:t>
      </w:r>
      <w:r w:rsidR="00612E62">
        <w:t xml:space="preserve"> helpful in engaging a student who</w:t>
      </w:r>
      <w:r w:rsidR="009263D5">
        <w:t>, as a future orthopedist,</w:t>
      </w:r>
      <w:r w:rsidR="00612E62">
        <w:t xml:space="preserve"> may not see the relevance</w:t>
      </w:r>
      <w:r w:rsidR="009263D5">
        <w:t xml:space="preserve"> of addressing</w:t>
      </w:r>
      <w:r w:rsidR="00612E62">
        <w:t xml:space="preserve"> </w:t>
      </w:r>
      <w:r w:rsidR="00A87CC5">
        <w:t xml:space="preserve">a patient’s depression when that patient </w:t>
      </w:r>
      <w:r w:rsidR="009263D5">
        <w:t xml:space="preserve">is </w:t>
      </w:r>
      <w:r w:rsidR="00A87CC5">
        <w:t xml:space="preserve">about to have a major surgery. </w:t>
      </w:r>
      <w:r>
        <w:t>Simply stated, student self-assessments provided fodder for clerkship director faculty development as a clinical educator.</w:t>
      </w:r>
    </w:p>
    <w:p w14:paraId="314BC588" w14:textId="77777777" w:rsidR="00D70940" w:rsidRDefault="00D70940" w:rsidP="00D70940">
      <w:pPr>
        <w:pStyle w:val="ListParagraph"/>
      </w:pPr>
    </w:p>
    <w:p w14:paraId="42E5D324" w14:textId="73EB694E" w:rsidR="00D70940" w:rsidRPr="006E5E47" w:rsidRDefault="00D70940" w:rsidP="00D70940">
      <w:pPr>
        <w:pStyle w:val="ListParagraph"/>
      </w:pPr>
      <w:r w:rsidRPr="006E5E47">
        <w:t xml:space="preserve">Due to the limited time in didactics during a longitudinal Family Medicine clerkship, assignments are a key component of student learning.  </w:t>
      </w:r>
      <w:r w:rsidR="000C3F52">
        <w:t>After one year as a longitudinal rotation</w:t>
      </w:r>
      <w:r w:rsidRPr="006E5E47">
        <w:t xml:space="preserve">, the clerkship was changed to a block format and the assignment was adapted in that it became a one-time exercise. In the </w:t>
      </w:r>
      <w:r w:rsidR="000C3F52">
        <w:t>first year as a</w:t>
      </w:r>
      <w:r w:rsidR="000C3F52" w:rsidRPr="006E5E47">
        <w:t xml:space="preserve"> </w:t>
      </w:r>
      <w:r w:rsidRPr="006E5E47">
        <w:t>block</w:t>
      </w:r>
      <w:r w:rsidR="000C3F52">
        <w:t xml:space="preserve"> rotation</w:t>
      </w:r>
      <w:r w:rsidRPr="006E5E47">
        <w:t xml:space="preserve">, the self-assessment was turned in at the end of the first week. Student feedback led to this assignment being moved to the end of the second week. This has given students enough time to complete the activity and is also prior to the midpoint of the rotation, allowing for the assignment to be used for discussion during the midpoint feedback session with the clerkship director.  </w:t>
      </w:r>
    </w:p>
    <w:p w14:paraId="05E1D2AA" w14:textId="77777777" w:rsidR="00D70940" w:rsidRDefault="00D70940" w:rsidP="00D70940">
      <w:pPr>
        <w:pStyle w:val="ListParagraph"/>
      </w:pPr>
    </w:p>
    <w:p w14:paraId="435B7B48" w14:textId="6D815315" w:rsidR="00D70940" w:rsidRPr="0060150A" w:rsidRDefault="00D70940" w:rsidP="00D70940">
      <w:pPr>
        <w:pStyle w:val="ListParagraph"/>
      </w:pPr>
      <w:r w:rsidRPr="006E5E47">
        <w:t>When the assignment evolved into something that was done only once, rather than longitudinally throughout the year, it was also expanded in its breadth and number of questions. The initial assignment, which was comple</w:t>
      </w:r>
      <w:r w:rsidRPr="0060150A">
        <w:t>ted three times during the longitudinal rotation, focused most directly on self-assessment of the students</w:t>
      </w:r>
      <w:r w:rsidR="009263D5">
        <w:t>’</w:t>
      </w:r>
      <w:r w:rsidRPr="0060150A">
        <w:t xml:space="preserve"> overall wellbeing, strengths, weaknesses, and plans for improvement over the coming several months. In the block rotation format, it was decided to expand the assignment so that it also asks students to reflect on patient encounters related to financial constraints, continuity of care, and preventative healthcare. Students are also asked to discuss an encounter where they used motivational interviewing, and to assess what could have been improved in this patient interview. Finally, students are also asked to comment about how they effectively function in a healthcare team. The addition of these question has allowed the clerkship director to assess multiple other learner objectives using this assignment.</w:t>
      </w:r>
    </w:p>
    <w:p w14:paraId="2795437D" w14:textId="77777777" w:rsidR="00D70940" w:rsidRDefault="00D70940" w:rsidP="00D70940">
      <w:pPr>
        <w:pStyle w:val="ListParagraph"/>
      </w:pPr>
    </w:p>
    <w:p w14:paraId="244ACD15" w14:textId="4ED59126" w:rsidR="00D70940" w:rsidRPr="006E5E47" w:rsidRDefault="00D70940" w:rsidP="00D70940">
      <w:pPr>
        <w:pStyle w:val="ListParagraph"/>
      </w:pPr>
      <w:r w:rsidRPr="000237AB">
        <w:t>A</w:t>
      </w:r>
      <w:r w:rsidR="004C44D7">
        <w:t xml:space="preserve">nother </w:t>
      </w:r>
      <w:r w:rsidRPr="000237AB">
        <w:t xml:space="preserve">lesson learned was the </w:t>
      </w:r>
      <w:r w:rsidRPr="006E5E47">
        <w:t xml:space="preserve">need to be very clear and concrete in the syllabus and in all communications with students.  Contrary to the preconception that students would think the syllabus was overly verbose in its discussion of each assignment’s details, students were grateful that they knew exactly what was expected of them.  </w:t>
      </w:r>
    </w:p>
    <w:p w14:paraId="64AA5AB8" w14:textId="77777777" w:rsidR="00D70940" w:rsidRDefault="00D70940" w:rsidP="00D70940">
      <w:pPr>
        <w:pStyle w:val="ListParagraph"/>
      </w:pPr>
    </w:p>
    <w:p w14:paraId="7667389B" w14:textId="77777777" w:rsidR="00D70940" w:rsidRDefault="00D70940" w:rsidP="00D70940">
      <w:pPr>
        <w:pStyle w:val="ListParagraph"/>
      </w:pPr>
    </w:p>
    <w:p w14:paraId="70F3847F" w14:textId="77777777" w:rsidR="001C6438" w:rsidRDefault="00152E76" w:rsidP="002443C5">
      <w:r w:rsidRPr="00152E76">
        <w:t>Explanation of Appendices</w:t>
      </w:r>
    </w:p>
    <w:p w14:paraId="492EF572" w14:textId="0C2E65DE" w:rsidR="001C6438" w:rsidRPr="0060150A" w:rsidRDefault="001C6438" w:rsidP="001C6438">
      <w:pPr>
        <w:pStyle w:val="ListParagraph"/>
      </w:pPr>
      <w:r w:rsidRPr="0060150A">
        <w:t xml:space="preserve">This curriculum contains </w:t>
      </w:r>
      <w:r w:rsidR="000455F3">
        <w:t>two</w:t>
      </w:r>
      <w:r w:rsidRPr="0060150A">
        <w:t xml:space="preserve"> </w:t>
      </w:r>
      <w:proofErr w:type="gramStart"/>
      <w:r w:rsidRPr="0060150A">
        <w:t>appendix</w:t>
      </w:r>
      <w:r w:rsidR="000455F3">
        <w:t>es</w:t>
      </w:r>
      <w:r w:rsidRPr="0060150A">
        <w:t xml:space="preserve"> .</w:t>
      </w:r>
      <w:proofErr w:type="gramEnd"/>
      <w:r w:rsidRPr="0060150A">
        <w:t xml:space="preserve"> Appendix A outlines the rubric for assessing the assignment.  </w:t>
      </w:r>
      <w:r w:rsidR="000455F3">
        <w:t>Appendix B outlines the questions that students answer in th</w:t>
      </w:r>
      <w:r w:rsidR="009263D5">
        <w:t>e</w:t>
      </w:r>
      <w:r w:rsidR="000455F3">
        <w:t xml:space="preserve"> self-assessment assignment.  </w:t>
      </w:r>
    </w:p>
    <w:p w14:paraId="298AF340" w14:textId="77777777" w:rsidR="001C6438" w:rsidRDefault="001C6438" w:rsidP="001C6438">
      <w:pPr>
        <w:pStyle w:val="ListParagraph"/>
      </w:pPr>
    </w:p>
    <w:p w14:paraId="52A2BA1C" w14:textId="77777777" w:rsidR="00152E76" w:rsidRDefault="00152E76" w:rsidP="002443C5">
      <w:r w:rsidRPr="00152E76">
        <w:t>References</w:t>
      </w:r>
    </w:p>
    <w:p w14:paraId="3A9ECACA" w14:textId="77777777" w:rsidR="002443C5" w:rsidRDefault="001C6438" w:rsidP="002443C5">
      <w:r>
        <w:t>Further Reading that may be of interest in the Implementation of these assignments:</w:t>
      </w:r>
    </w:p>
    <w:p w14:paraId="7A2CAB9C" w14:textId="77777777" w:rsidR="002443C5" w:rsidRDefault="001C6438" w:rsidP="002443C5">
      <w:pPr>
        <w:pStyle w:val="ListParagraph"/>
        <w:numPr>
          <w:ilvl w:val="0"/>
          <w:numId w:val="7"/>
        </w:numPr>
      </w:pPr>
      <w:r>
        <w:t xml:space="preserve">Rock JA, Simpson, JL, </w:t>
      </w:r>
      <w:proofErr w:type="spellStart"/>
      <w:r>
        <w:t>Dambach</w:t>
      </w:r>
      <w:proofErr w:type="spellEnd"/>
      <w:r>
        <w:t xml:space="preserve"> G, O'Leary, JP, Markham S, </w:t>
      </w:r>
      <w:proofErr w:type="spellStart"/>
      <w:r>
        <w:t>Bagby</w:t>
      </w:r>
      <w:proofErr w:type="spellEnd"/>
      <w:r>
        <w:t xml:space="preserve"> L, </w:t>
      </w:r>
      <w:proofErr w:type="spellStart"/>
      <w:r>
        <w:t>Seecharan</w:t>
      </w:r>
      <w:proofErr w:type="spellEnd"/>
      <w:r>
        <w:t xml:space="preserve"> K, Berkman RM. Florida International University: Development and Accreditation of Miami's Public College of Medicine. </w:t>
      </w:r>
      <w:proofErr w:type="spellStart"/>
      <w:r>
        <w:t>Acad</w:t>
      </w:r>
      <w:proofErr w:type="spellEnd"/>
      <w:r>
        <w:t xml:space="preserve"> Med. 2009 Oct, 84(10):1454-8</w:t>
      </w:r>
    </w:p>
    <w:p w14:paraId="69DDA3BC" w14:textId="77777777" w:rsidR="002443C5" w:rsidRDefault="000455F3" w:rsidP="002443C5">
      <w:pPr>
        <w:pStyle w:val="ListParagraph"/>
        <w:numPr>
          <w:ilvl w:val="0"/>
          <w:numId w:val="7"/>
        </w:numPr>
      </w:pPr>
      <w:proofErr w:type="spellStart"/>
      <w:r>
        <w:t>Brydges</w:t>
      </w:r>
      <w:proofErr w:type="spellEnd"/>
      <w:r>
        <w:t xml:space="preserve"> R, Butler D. A reflective analysis of medical education research on self-regulation in learning and practice. Medical Education </w:t>
      </w:r>
      <w:proofErr w:type="gramStart"/>
      <w:r>
        <w:t>2012;46:71</w:t>
      </w:r>
      <w:proofErr w:type="gramEnd"/>
      <w:r>
        <w:t>–9.</w:t>
      </w:r>
    </w:p>
    <w:p w14:paraId="24AC2E19" w14:textId="166989F1" w:rsidR="000455F3" w:rsidRDefault="000455F3" w:rsidP="002443C5">
      <w:pPr>
        <w:pStyle w:val="ListParagraph"/>
        <w:numPr>
          <w:ilvl w:val="0"/>
          <w:numId w:val="7"/>
        </w:numPr>
      </w:pPr>
      <w:proofErr w:type="spellStart"/>
      <w:r>
        <w:t>Kursurkar</w:t>
      </w:r>
      <w:proofErr w:type="spellEnd"/>
      <w:r>
        <w:t xml:space="preserve"> R, ten Cate O. AM last page: Education is not filling a </w:t>
      </w:r>
      <w:proofErr w:type="gramStart"/>
      <w:r>
        <w:t>bucket, but</w:t>
      </w:r>
      <w:proofErr w:type="gramEnd"/>
      <w:r>
        <w:t xml:space="preserve"> lighting a fire: Self-determination theory and motivation in medical students. Academic Medicine </w:t>
      </w:r>
      <w:proofErr w:type="gramStart"/>
      <w:r>
        <w:t>2013;88:904</w:t>
      </w:r>
      <w:proofErr w:type="gramEnd"/>
    </w:p>
    <w:p w14:paraId="1D8E0177" w14:textId="77777777" w:rsidR="00152E76" w:rsidRDefault="00152E76" w:rsidP="00B61B03">
      <w:bookmarkStart w:id="0" w:name="_GoBack"/>
      <w:bookmarkEnd w:id="0"/>
    </w:p>
    <w:sectPr w:rsidR="00152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oudy">
    <w:altName w:val="Goudy Old Style"/>
    <w:panose1 w:val="020B0604020202020204"/>
    <w:charset w:val="00"/>
    <w:family w:val="roman"/>
    <w:pitch w:val="variable"/>
    <w:sig w:usb0="00000003" w:usb1="00000000" w:usb2="00000000" w:usb3="00000000" w:csb0="00000001" w:csb1="00000000"/>
  </w:font>
  <w:font w:name="Segoe UI">
    <w:altName w:val="Calibri"/>
    <w:panose1 w:val="020B060402020202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76AE"/>
    <w:multiLevelType w:val="hybridMultilevel"/>
    <w:tmpl w:val="86BE9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EF3078F"/>
    <w:multiLevelType w:val="hybridMultilevel"/>
    <w:tmpl w:val="864A6060"/>
    <w:lvl w:ilvl="0" w:tplc="67B6151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6A6B73"/>
    <w:multiLevelType w:val="hybridMultilevel"/>
    <w:tmpl w:val="C2EC67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C4C4D"/>
    <w:multiLevelType w:val="hybridMultilevel"/>
    <w:tmpl w:val="DD2C6BDC"/>
    <w:lvl w:ilvl="0" w:tplc="67B61510">
      <w:start w:val="1"/>
      <w:numFmt w:val="upperRoman"/>
      <w:lvlText w:val="%1."/>
      <w:lvlJc w:val="left"/>
      <w:pPr>
        <w:ind w:left="171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61E84F18"/>
    <w:multiLevelType w:val="hybridMultilevel"/>
    <w:tmpl w:val="237A8B60"/>
    <w:lvl w:ilvl="0" w:tplc="67B61510">
      <w:start w:val="1"/>
      <w:numFmt w:val="upp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73F1B97"/>
    <w:multiLevelType w:val="hybridMultilevel"/>
    <w:tmpl w:val="50182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DE7320"/>
    <w:multiLevelType w:val="hybridMultilevel"/>
    <w:tmpl w:val="B810BDE2"/>
    <w:lvl w:ilvl="0" w:tplc="67B61510">
      <w:start w:val="1"/>
      <w:numFmt w:val="upp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76"/>
    <w:rsid w:val="000411F5"/>
    <w:rsid w:val="000455F3"/>
    <w:rsid w:val="000B4D31"/>
    <w:rsid w:val="000C3F52"/>
    <w:rsid w:val="000C6500"/>
    <w:rsid w:val="00152E76"/>
    <w:rsid w:val="001C6438"/>
    <w:rsid w:val="001F6A1C"/>
    <w:rsid w:val="002443C5"/>
    <w:rsid w:val="003A7D70"/>
    <w:rsid w:val="004C44D7"/>
    <w:rsid w:val="00612E62"/>
    <w:rsid w:val="007F1A43"/>
    <w:rsid w:val="008F196B"/>
    <w:rsid w:val="009263D5"/>
    <w:rsid w:val="00A6063C"/>
    <w:rsid w:val="00A87CC5"/>
    <w:rsid w:val="00B61B03"/>
    <w:rsid w:val="00B800EA"/>
    <w:rsid w:val="00BF35D6"/>
    <w:rsid w:val="00D3694A"/>
    <w:rsid w:val="00D70940"/>
    <w:rsid w:val="00DA7A0B"/>
    <w:rsid w:val="00E30B2F"/>
    <w:rsid w:val="00EB006D"/>
    <w:rsid w:val="00EB49D3"/>
    <w:rsid w:val="00EC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F9DE"/>
  <w15:chartTrackingRefBased/>
  <w15:docId w15:val="{8D45A94D-C940-4B1D-8744-7FA886D7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A43"/>
    <w:pPr>
      <w:spacing w:after="0"/>
      <w:contextualSpacing/>
    </w:pPr>
    <w:rPr>
      <w:rFonts w:cs="Times New Roman"/>
      <w:szCs w:val="24"/>
    </w:rPr>
  </w:style>
  <w:style w:type="paragraph" w:styleId="ListParagraph">
    <w:name w:val="List Paragraph"/>
    <w:basedOn w:val="Normal"/>
    <w:uiPriority w:val="34"/>
    <w:qFormat/>
    <w:rsid w:val="00152E76"/>
    <w:pPr>
      <w:ind w:left="720"/>
      <w:contextualSpacing/>
    </w:pPr>
  </w:style>
  <w:style w:type="character" w:styleId="Hyperlink">
    <w:name w:val="Hyperlink"/>
    <w:basedOn w:val="DefaultParagraphFont"/>
    <w:uiPriority w:val="99"/>
    <w:unhideWhenUsed/>
    <w:rsid w:val="00D70940"/>
    <w:rPr>
      <w:color w:val="0563C1" w:themeColor="hyperlink"/>
      <w:u w:val="single"/>
    </w:rPr>
  </w:style>
  <w:style w:type="paragraph" w:customStyle="1" w:styleId="Pa4">
    <w:name w:val="Pa4"/>
    <w:basedOn w:val="Normal"/>
    <w:next w:val="Normal"/>
    <w:uiPriority w:val="99"/>
    <w:rsid w:val="00D70940"/>
    <w:pPr>
      <w:autoSpaceDE w:val="0"/>
      <w:autoSpaceDN w:val="0"/>
      <w:adjustRightInd w:val="0"/>
      <w:spacing w:line="221" w:lineRule="atLeast"/>
    </w:pPr>
    <w:rPr>
      <w:rFonts w:ascii="Goudy" w:eastAsia="Times New Roman" w:hAnsi="Goudy" w:cs="Times New Roman"/>
      <w:szCs w:val="24"/>
    </w:rPr>
  </w:style>
  <w:style w:type="character" w:styleId="CommentReference">
    <w:name w:val="annotation reference"/>
    <w:basedOn w:val="DefaultParagraphFont"/>
    <w:uiPriority w:val="99"/>
    <w:semiHidden/>
    <w:unhideWhenUsed/>
    <w:rsid w:val="00D70940"/>
    <w:rPr>
      <w:sz w:val="16"/>
      <w:szCs w:val="16"/>
    </w:rPr>
  </w:style>
  <w:style w:type="paragraph" w:styleId="CommentText">
    <w:name w:val="annotation text"/>
    <w:basedOn w:val="Normal"/>
    <w:link w:val="CommentTextChar"/>
    <w:uiPriority w:val="99"/>
    <w:semiHidden/>
    <w:unhideWhenUsed/>
    <w:rsid w:val="00D70940"/>
    <w:rPr>
      <w:sz w:val="20"/>
      <w:szCs w:val="20"/>
    </w:rPr>
  </w:style>
  <w:style w:type="character" w:customStyle="1" w:styleId="CommentTextChar">
    <w:name w:val="Comment Text Char"/>
    <w:basedOn w:val="DefaultParagraphFont"/>
    <w:link w:val="CommentText"/>
    <w:uiPriority w:val="99"/>
    <w:semiHidden/>
    <w:rsid w:val="00D70940"/>
    <w:rPr>
      <w:sz w:val="20"/>
      <w:szCs w:val="20"/>
    </w:rPr>
  </w:style>
  <w:style w:type="paragraph" w:styleId="CommentSubject">
    <w:name w:val="annotation subject"/>
    <w:basedOn w:val="CommentText"/>
    <w:next w:val="CommentText"/>
    <w:link w:val="CommentSubjectChar"/>
    <w:uiPriority w:val="99"/>
    <w:semiHidden/>
    <w:unhideWhenUsed/>
    <w:rsid w:val="00D70940"/>
    <w:rPr>
      <w:b/>
      <w:bCs/>
    </w:rPr>
  </w:style>
  <w:style w:type="character" w:customStyle="1" w:styleId="CommentSubjectChar">
    <w:name w:val="Comment Subject Char"/>
    <w:basedOn w:val="CommentTextChar"/>
    <w:link w:val="CommentSubject"/>
    <w:uiPriority w:val="99"/>
    <w:semiHidden/>
    <w:rsid w:val="00D70940"/>
    <w:rPr>
      <w:b/>
      <w:bCs/>
      <w:sz w:val="20"/>
      <w:szCs w:val="20"/>
    </w:rPr>
  </w:style>
  <w:style w:type="paragraph" w:styleId="BalloonText">
    <w:name w:val="Balloon Text"/>
    <w:basedOn w:val="Normal"/>
    <w:link w:val="BalloonTextChar"/>
    <w:uiPriority w:val="99"/>
    <w:semiHidden/>
    <w:unhideWhenUsed/>
    <w:rsid w:val="00D709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940"/>
    <w:rPr>
      <w:rFonts w:ascii="Segoe UI" w:hAnsi="Segoe UI" w:cs="Segoe UI"/>
      <w:sz w:val="18"/>
      <w:szCs w:val="18"/>
    </w:rPr>
  </w:style>
  <w:style w:type="character" w:customStyle="1" w:styleId="pagecontents">
    <w:name w:val="pagecontents"/>
    <w:basedOn w:val="DefaultParagraphFont"/>
    <w:rsid w:val="0024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3931">
      <w:bodyDiv w:val="1"/>
      <w:marLeft w:val="0"/>
      <w:marRight w:val="0"/>
      <w:marTop w:val="0"/>
      <w:marBottom w:val="0"/>
      <w:divBdr>
        <w:top w:val="none" w:sz="0" w:space="0" w:color="auto"/>
        <w:left w:val="none" w:sz="0" w:space="0" w:color="auto"/>
        <w:bottom w:val="none" w:sz="0" w:space="0" w:color="auto"/>
        <w:right w:val="none" w:sz="0" w:space="0" w:color="auto"/>
      </w:divBdr>
    </w:div>
    <w:div w:id="572930641">
      <w:bodyDiv w:val="1"/>
      <w:marLeft w:val="0"/>
      <w:marRight w:val="0"/>
      <w:marTop w:val="0"/>
      <w:marBottom w:val="0"/>
      <w:divBdr>
        <w:top w:val="none" w:sz="0" w:space="0" w:color="auto"/>
        <w:left w:val="none" w:sz="0" w:space="0" w:color="auto"/>
        <w:bottom w:val="none" w:sz="0" w:space="0" w:color="auto"/>
        <w:right w:val="none" w:sz="0" w:space="0" w:color="auto"/>
      </w:divBdr>
    </w:div>
    <w:div w:id="576288834">
      <w:bodyDiv w:val="1"/>
      <w:marLeft w:val="0"/>
      <w:marRight w:val="0"/>
      <w:marTop w:val="0"/>
      <w:marBottom w:val="0"/>
      <w:divBdr>
        <w:top w:val="none" w:sz="0" w:space="0" w:color="auto"/>
        <w:left w:val="none" w:sz="0" w:space="0" w:color="auto"/>
        <w:bottom w:val="none" w:sz="0" w:space="0" w:color="auto"/>
        <w:right w:val="none" w:sz="0" w:space="0" w:color="auto"/>
      </w:divBdr>
    </w:div>
    <w:div w:id="954871560">
      <w:bodyDiv w:val="1"/>
      <w:marLeft w:val="0"/>
      <w:marRight w:val="0"/>
      <w:marTop w:val="0"/>
      <w:marBottom w:val="0"/>
      <w:divBdr>
        <w:top w:val="none" w:sz="0" w:space="0" w:color="auto"/>
        <w:left w:val="none" w:sz="0" w:space="0" w:color="auto"/>
        <w:bottom w:val="none" w:sz="0" w:space="0" w:color="auto"/>
        <w:right w:val="none" w:sz="0" w:space="0" w:color="auto"/>
      </w:divBdr>
      <w:divsChild>
        <w:div w:id="631207976">
          <w:marLeft w:val="0"/>
          <w:marRight w:val="0"/>
          <w:marTop w:val="0"/>
          <w:marBottom w:val="0"/>
          <w:divBdr>
            <w:top w:val="none" w:sz="0" w:space="0" w:color="auto"/>
            <w:left w:val="none" w:sz="0" w:space="0" w:color="auto"/>
            <w:bottom w:val="none" w:sz="0" w:space="0" w:color="auto"/>
            <w:right w:val="none" w:sz="0" w:space="0" w:color="auto"/>
          </w:divBdr>
          <w:divsChild>
            <w:div w:id="14987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tumbar@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Minor</dc:creator>
  <cp:keywords/>
  <dc:description/>
  <cp:lastModifiedBy>STFM_Staff_Mac</cp:lastModifiedBy>
  <cp:revision>3</cp:revision>
  <dcterms:created xsi:type="dcterms:W3CDTF">2018-11-27T16:59:00Z</dcterms:created>
  <dcterms:modified xsi:type="dcterms:W3CDTF">2019-12-10T19:48:00Z</dcterms:modified>
</cp:coreProperties>
</file>