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B8619" w14:textId="07F44750" w:rsidR="00D52D96" w:rsidRDefault="00D52D96" w:rsidP="00D52D96">
      <w:r>
        <w:rPr>
          <w:noProof/>
        </w:rPr>
        <w:drawing>
          <wp:anchor distT="0" distB="0" distL="114300" distR="114300" simplePos="0" relativeHeight="251658240" behindDoc="1" locked="0" layoutInCell="1" allowOverlap="1" wp14:anchorId="41606CDA" wp14:editId="41CF0F59">
            <wp:simplePos x="0" y="0"/>
            <wp:positionH relativeFrom="column">
              <wp:posOffset>-330200</wp:posOffset>
            </wp:positionH>
            <wp:positionV relativeFrom="paragraph">
              <wp:posOffset>-330200</wp:posOffset>
            </wp:positionV>
            <wp:extent cx="7762776" cy="10045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V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5387" cy="10062020"/>
                    </a:xfrm>
                    <a:prstGeom prst="rect">
                      <a:avLst/>
                    </a:prstGeom>
                  </pic:spPr>
                </pic:pic>
              </a:graphicData>
            </a:graphic>
            <wp14:sizeRelH relativeFrom="margin">
              <wp14:pctWidth>0</wp14:pctWidth>
            </wp14:sizeRelH>
            <wp14:sizeRelV relativeFrom="margin">
              <wp14:pctHeight>0</wp14:pctHeight>
            </wp14:sizeRelV>
          </wp:anchor>
        </w:drawing>
      </w:r>
    </w:p>
    <w:p w14:paraId="5DF45D8C" w14:textId="3F8C947C" w:rsidR="00F628C1" w:rsidRDefault="00183FA9"/>
    <w:p w14:paraId="0F293A02" w14:textId="20001B27" w:rsidR="00D52D96" w:rsidRDefault="00D52D96"/>
    <w:p w14:paraId="3F1E7924" w14:textId="0F1A28FB" w:rsidR="00D52D96" w:rsidRDefault="00D52D96"/>
    <w:p w14:paraId="46D116DB" w14:textId="77777777" w:rsidR="00D20EFD" w:rsidRPr="00D20EFD" w:rsidRDefault="00D20EFD" w:rsidP="00D20EFD"/>
    <w:p w14:paraId="5E66BD07" w14:textId="77777777" w:rsidR="00D20EFD" w:rsidRPr="00D20EFD" w:rsidRDefault="00D20EFD" w:rsidP="00D20EFD">
      <w:pPr>
        <w:rPr>
          <w:rFonts w:ascii="Arial" w:hAnsi="Arial" w:cs="Arial"/>
          <w:sz w:val="22"/>
          <w:szCs w:val="22"/>
        </w:rPr>
      </w:pPr>
      <w:r w:rsidRPr="00D20EFD">
        <w:rPr>
          <w:rFonts w:ascii="Arial" w:hAnsi="Arial" w:cs="Arial"/>
          <w:sz w:val="22"/>
          <w:szCs w:val="22"/>
        </w:rPr>
        <w:t>August 12, 2019</w:t>
      </w:r>
    </w:p>
    <w:p w14:paraId="266E9DD8" w14:textId="77777777" w:rsidR="00D20EFD" w:rsidRPr="00D20EFD" w:rsidRDefault="00D20EFD" w:rsidP="00D20EFD">
      <w:pPr>
        <w:rPr>
          <w:rFonts w:ascii="Arial" w:hAnsi="Arial" w:cs="Arial"/>
          <w:sz w:val="22"/>
          <w:szCs w:val="22"/>
        </w:rPr>
      </w:pPr>
    </w:p>
    <w:p w14:paraId="7CAA3B4F" w14:textId="77777777" w:rsidR="00D20EFD" w:rsidRPr="00D20EFD" w:rsidRDefault="00D20EFD" w:rsidP="00D20EFD">
      <w:pPr>
        <w:rPr>
          <w:rFonts w:ascii="Arial" w:hAnsi="Arial" w:cs="Arial"/>
          <w:sz w:val="22"/>
          <w:szCs w:val="22"/>
        </w:rPr>
      </w:pPr>
      <w:r w:rsidRPr="00D20EFD">
        <w:rPr>
          <w:rFonts w:ascii="Arial" w:hAnsi="Arial" w:cs="Arial"/>
          <w:sz w:val="22"/>
          <w:szCs w:val="22"/>
        </w:rPr>
        <w:t xml:space="preserve">Administrator Seema </w:t>
      </w:r>
      <w:proofErr w:type="spellStart"/>
      <w:r w:rsidRPr="00D20EFD">
        <w:rPr>
          <w:rFonts w:ascii="Arial" w:hAnsi="Arial" w:cs="Arial"/>
          <w:sz w:val="22"/>
          <w:szCs w:val="22"/>
        </w:rPr>
        <w:t>Verma</w:t>
      </w:r>
      <w:proofErr w:type="spellEnd"/>
    </w:p>
    <w:p w14:paraId="29B24FB8" w14:textId="77777777" w:rsidR="00D20EFD" w:rsidRPr="00D20EFD" w:rsidRDefault="00D20EFD" w:rsidP="00D20EFD">
      <w:pPr>
        <w:rPr>
          <w:rFonts w:ascii="Arial" w:hAnsi="Arial" w:cs="Arial"/>
          <w:sz w:val="22"/>
          <w:szCs w:val="22"/>
        </w:rPr>
      </w:pPr>
      <w:r w:rsidRPr="00D20EFD">
        <w:rPr>
          <w:rFonts w:ascii="Arial" w:hAnsi="Arial" w:cs="Arial"/>
          <w:sz w:val="22"/>
          <w:szCs w:val="22"/>
        </w:rPr>
        <w:t>Centers for Medicare &amp; Medicaid Services</w:t>
      </w:r>
    </w:p>
    <w:p w14:paraId="38A90FA6" w14:textId="77777777" w:rsidR="00D20EFD" w:rsidRPr="00D20EFD" w:rsidRDefault="00D20EFD" w:rsidP="00D20EFD">
      <w:pPr>
        <w:rPr>
          <w:rFonts w:ascii="Arial" w:hAnsi="Arial" w:cs="Arial"/>
          <w:sz w:val="22"/>
          <w:szCs w:val="22"/>
        </w:rPr>
      </w:pPr>
      <w:r w:rsidRPr="00D20EFD">
        <w:rPr>
          <w:rFonts w:ascii="Arial" w:hAnsi="Arial" w:cs="Arial"/>
          <w:sz w:val="22"/>
          <w:szCs w:val="22"/>
        </w:rPr>
        <w:t xml:space="preserve">Department of Health and Human Services, </w:t>
      </w:r>
    </w:p>
    <w:p w14:paraId="48CA29EC" w14:textId="77777777" w:rsidR="00D20EFD" w:rsidRPr="00D20EFD" w:rsidRDefault="00D20EFD" w:rsidP="00D20EFD">
      <w:pPr>
        <w:rPr>
          <w:rFonts w:ascii="Arial" w:hAnsi="Arial" w:cs="Arial"/>
          <w:sz w:val="22"/>
          <w:szCs w:val="22"/>
        </w:rPr>
      </w:pPr>
      <w:r w:rsidRPr="00D20EFD">
        <w:rPr>
          <w:rFonts w:ascii="Arial" w:hAnsi="Arial" w:cs="Arial"/>
          <w:sz w:val="22"/>
          <w:szCs w:val="22"/>
        </w:rPr>
        <w:t>Attention: CMS–6082–NC</w:t>
      </w:r>
    </w:p>
    <w:p w14:paraId="0EB71BAD" w14:textId="77777777" w:rsidR="00D20EFD" w:rsidRPr="00D20EFD" w:rsidRDefault="00D20EFD" w:rsidP="00D20EFD">
      <w:pPr>
        <w:rPr>
          <w:rFonts w:ascii="Arial" w:hAnsi="Arial" w:cs="Arial"/>
          <w:sz w:val="22"/>
          <w:szCs w:val="22"/>
        </w:rPr>
      </w:pPr>
      <w:r w:rsidRPr="00D20EFD">
        <w:rPr>
          <w:rFonts w:ascii="Arial" w:hAnsi="Arial" w:cs="Arial"/>
          <w:sz w:val="22"/>
          <w:szCs w:val="22"/>
        </w:rPr>
        <w:t>P.O. Box 8016</w:t>
      </w:r>
    </w:p>
    <w:p w14:paraId="21AD86A1" w14:textId="77777777" w:rsidR="00D20EFD" w:rsidRPr="00D20EFD" w:rsidRDefault="00D20EFD" w:rsidP="00D20EFD">
      <w:pPr>
        <w:rPr>
          <w:rFonts w:ascii="Arial" w:hAnsi="Arial" w:cs="Arial"/>
          <w:sz w:val="22"/>
          <w:szCs w:val="22"/>
        </w:rPr>
      </w:pPr>
      <w:r w:rsidRPr="00D20EFD">
        <w:rPr>
          <w:rFonts w:ascii="Arial" w:hAnsi="Arial" w:cs="Arial"/>
          <w:sz w:val="22"/>
          <w:szCs w:val="22"/>
        </w:rPr>
        <w:t>Baltimore, MD 21244–8016</w:t>
      </w:r>
    </w:p>
    <w:p w14:paraId="19128C9B" w14:textId="77777777" w:rsidR="00D20EFD" w:rsidRPr="00D20EFD" w:rsidRDefault="00D20EFD" w:rsidP="00D20EFD">
      <w:pPr>
        <w:rPr>
          <w:rFonts w:ascii="Arial" w:hAnsi="Arial" w:cs="Arial"/>
          <w:sz w:val="22"/>
          <w:szCs w:val="22"/>
        </w:rPr>
      </w:pPr>
    </w:p>
    <w:p w14:paraId="77A8E009" w14:textId="77777777" w:rsidR="00D20EFD" w:rsidRPr="00D20EFD" w:rsidRDefault="00D20EFD" w:rsidP="00D20EFD">
      <w:pPr>
        <w:rPr>
          <w:rFonts w:ascii="Arial" w:hAnsi="Arial" w:cs="Arial"/>
          <w:sz w:val="22"/>
          <w:szCs w:val="22"/>
        </w:rPr>
      </w:pPr>
      <w:r w:rsidRPr="00D20EFD">
        <w:rPr>
          <w:rFonts w:ascii="Arial" w:hAnsi="Arial" w:cs="Arial"/>
          <w:sz w:val="22"/>
          <w:szCs w:val="22"/>
        </w:rPr>
        <w:t xml:space="preserve">Attention: CMS–6082–NC </w:t>
      </w:r>
    </w:p>
    <w:p w14:paraId="24A7AF49" w14:textId="77777777" w:rsidR="00D20EFD" w:rsidRPr="00D20EFD" w:rsidRDefault="00D20EFD" w:rsidP="00D20EFD">
      <w:pPr>
        <w:rPr>
          <w:rFonts w:ascii="Arial" w:hAnsi="Arial" w:cs="Arial"/>
          <w:sz w:val="22"/>
          <w:szCs w:val="22"/>
        </w:rPr>
      </w:pPr>
    </w:p>
    <w:p w14:paraId="4FFC3A4B" w14:textId="77777777" w:rsidR="00D20EFD" w:rsidRPr="00D20EFD" w:rsidRDefault="00D20EFD" w:rsidP="00D20EFD">
      <w:pPr>
        <w:rPr>
          <w:rFonts w:ascii="Arial" w:hAnsi="Arial" w:cs="Arial"/>
          <w:sz w:val="22"/>
          <w:szCs w:val="22"/>
        </w:rPr>
      </w:pPr>
      <w:r w:rsidRPr="00D20EFD">
        <w:rPr>
          <w:rFonts w:ascii="Arial" w:hAnsi="Arial" w:cs="Arial"/>
          <w:sz w:val="22"/>
          <w:szCs w:val="22"/>
        </w:rPr>
        <w:t xml:space="preserve">Dear Administrator </w:t>
      </w:r>
      <w:proofErr w:type="spellStart"/>
      <w:r w:rsidRPr="00D20EFD">
        <w:rPr>
          <w:rFonts w:ascii="Arial" w:hAnsi="Arial" w:cs="Arial"/>
          <w:sz w:val="22"/>
          <w:szCs w:val="22"/>
        </w:rPr>
        <w:t>Verma</w:t>
      </w:r>
      <w:proofErr w:type="spellEnd"/>
      <w:r w:rsidRPr="00D20EFD">
        <w:rPr>
          <w:rFonts w:ascii="Arial" w:hAnsi="Arial" w:cs="Arial"/>
          <w:sz w:val="22"/>
          <w:szCs w:val="22"/>
        </w:rPr>
        <w:t>,</w:t>
      </w:r>
    </w:p>
    <w:p w14:paraId="1A55209F" w14:textId="77777777" w:rsidR="00D20EFD" w:rsidRPr="00D20EFD" w:rsidRDefault="00D20EFD" w:rsidP="00D20EFD">
      <w:pPr>
        <w:rPr>
          <w:rFonts w:ascii="Arial" w:hAnsi="Arial" w:cs="Arial"/>
          <w:b/>
          <w:sz w:val="22"/>
          <w:szCs w:val="22"/>
        </w:rPr>
      </w:pPr>
    </w:p>
    <w:p w14:paraId="4ED13147" w14:textId="77777777" w:rsidR="00D20EFD" w:rsidRPr="00D20EFD" w:rsidRDefault="00D20EFD" w:rsidP="00D20EFD">
      <w:pPr>
        <w:rPr>
          <w:rFonts w:ascii="Arial" w:hAnsi="Arial" w:cs="Arial"/>
          <w:sz w:val="22"/>
          <w:szCs w:val="22"/>
        </w:rPr>
      </w:pPr>
      <w:r w:rsidRPr="00D20EFD">
        <w:rPr>
          <w:rFonts w:ascii="Arial" w:hAnsi="Arial" w:cs="Arial"/>
          <w:sz w:val="22"/>
          <w:szCs w:val="22"/>
        </w:rPr>
        <w:t xml:space="preserve">On behalf of the Council of Academic Family Medicine (CAFM), including the Society of Teachers of Family Medicine, Association of Departments of Family Medicine, Association of Family Medicine Residency Directors, the North American Primary Care Research Group, we are pleased to submit comments in response to the Request for Information published in the June 11, 2019 </w:t>
      </w:r>
      <w:r w:rsidRPr="00D20EFD">
        <w:rPr>
          <w:rFonts w:ascii="Arial" w:hAnsi="Arial" w:cs="Arial"/>
          <w:i/>
          <w:sz w:val="22"/>
          <w:szCs w:val="22"/>
        </w:rPr>
        <w:t>Federal Register</w:t>
      </w:r>
      <w:r w:rsidRPr="00D20EFD">
        <w:rPr>
          <w:rFonts w:ascii="Arial" w:hAnsi="Arial" w:cs="Arial"/>
          <w:sz w:val="22"/>
          <w:szCs w:val="22"/>
        </w:rPr>
        <w:t>, titled Request for Information; Reducing Administrative Burden to Put Patients Over Paperwork.</w:t>
      </w:r>
    </w:p>
    <w:p w14:paraId="4A5C4F81" w14:textId="77777777" w:rsidR="00D20EFD" w:rsidRPr="00D20EFD" w:rsidRDefault="00D20EFD" w:rsidP="00D20EFD">
      <w:pPr>
        <w:rPr>
          <w:rFonts w:ascii="Arial" w:hAnsi="Arial" w:cs="Arial"/>
          <w:sz w:val="22"/>
          <w:szCs w:val="22"/>
        </w:rPr>
      </w:pPr>
    </w:p>
    <w:p w14:paraId="5262D21E" w14:textId="77777777" w:rsidR="00D20EFD" w:rsidRPr="00D20EFD" w:rsidRDefault="00D20EFD" w:rsidP="00D20EFD">
      <w:pPr>
        <w:rPr>
          <w:rFonts w:ascii="Arial" w:hAnsi="Arial" w:cs="Arial"/>
          <w:b/>
          <w:sz w:val="22"/>
          <w:szCs w:val="22"/>
        </w:rPr>
      </w:pPr>
      <w:r w:rsidRPr="00D20EFD">
        <w:rPr>
          <w:rFonts w:ascii="Arial" w:hAnsi="Arial" w:cs="Arial"/>
          <w:sz w:val="22"/>
          <w:szCs w:val="22"/>
        </w:rPr>
        <w:t>Among the areas that CMS has solicited comment for which they are particularly interested in, we include recommendations in three areas: 1) documentation requirements, 2) overly burdensome policies, and 3) policies or regulations causing unintended consequences to rural settings.</w:t>
      </w:r>
    </w:p>
    <w:p w14:paraId="3423A2F7" w14:textId="77777777" w:rsidR="00D20EFD" w:rsidRPr="00D20EFD" w:rsidRDefault="00D20EFD" w:rsidP="00D20EFD">
      <w:pPr>
        <w:rPr>
          <w:rFonts w:ascii="Arial" w:hAnsi="Arial" w:cs="Arial"/>
          <w:b/>
          <w:sz w:val="22"/>
          <w:szCs w:val="22"/>
        </w:rPr>
      </w:pPr>
    </w:p>
    <w:p w14:paraId="562F9DF1" w14:textId="77777777" w:rsidR="00D20EFD" w:rsidRPr="00D20EFD" w:rsidRDefault="00D20EFD" w:rsidP="00D20EFD">
      <w:pPr>
        <w:rPr>
          <w:rFonts w:ascii="Arial" w:hAnsi="Arial" w:cs="Arial"/>
          <w:b/>
          <w:sz w:val="22"/>
          <w:szCs w:val="22"/>
        </w:rPr>
      </w:pPr>
      <w:r w:rsidRPr="00D20EFD">
        <w:rPr>
          <w:rFonts w:ascii="Arial" w:hAnsi="Arial" w:cs="Arial"/>
          <w:b/>
          <w:sz w:val="22"/>
          <w:szCs w:val="22"/>
        </w:rPr>
        <w:t>Documentation Requirements</w:t>
      </w:r>
    </w:p>
    <w:p w14:paraId="7BCB19F0" w14:textId="77777777" w:rsidR="00D20EFD" w:rsidRPr="00D20EFD" w:rsidRDefault="00D20EFD" w:rsidP="00D20EFD">
      <w:pPr>
        <w:rPr>
          <w:rFonts w:ascii="Arial" w:hAnsi="Arial" w:cs="Arial"/>
          <w:sz w:val="22"/>
          <w:szCs w:val="22"/>
        </w:rPr>
      </w:pPr>
      <w:r w:rsidRPr="00D20EFD">
        <w:rPr>
          <w:rFonts w:ascii="Arial" w:hAnsi="Arial" w:cs="Arial"/>
          <w:sz w:val="22"/>
          <w:szCs w:val="22"/>
        </w:rPr>
        <w:t xml:space="preserve">We applaud the efforts that CMS has made to date to help reduce the documentation burden of physicians generally, and specifically those related to student documentation. We appreciate the changes CMS has made to allow the teaching physicians to use verified student documentation rather than having to craft a full note of their own. In addition, the recognition that residents or nurses can demonstrate the presence of the teaching physician in the note is also a positive change in reducing the documentation burden of physicians. We also applaud the responsiveness of CMS to our request for the inclusion of proposed changes to the “CY 2020 Revisions to Payment Policies under the Physician Fee Schedule,” (RIN 0938-AT72) that extend the ability of advanced practice nurses and physician assistants to be among the professionals who furnish and bill for their professional services who may review and verify, rather than re-document, information included in the medical record by physicians, residents, nurses, students, or other members of the medical team. </w:t>
      </w:r>
    </w:p>
    <w:p w14:paraId="39AF01E7" w14:textId="77777777" w:rsidR="00D20EFD" w:rsidRPr="00D20EFD" w:rsidRDefault="00D20EFD" w:rsidP="00D20EFD">
      <w:pPr>
        <w:rPr>
          <w:rFonts w:ascii="Arial" w:hAnsi="Arial" w:cs="Arial"/>
          <w:sz w:val="22"/>
          <w:szCs w:val="22"/>
        </w:rPr>
      </w:pPr>
    </w:p>
    <w:p w14:paraId="09E8BC2F" w14:textId="77777777" w:rsidR="00D20EFD" w:rsidRPr="00D20EFD" w:rsidRDefault="00D20EFD" w:rsidP="00D20EFD">
      <w:pPr>
        <w:rPr>
          <w:rFonts w:ascii="Arial" w:hAnsi="Arial" w:cs="Arial"/>
          <w:sz w:val="22"/>
          <w:szCs w:val="22"/>
        </w:rPr>
      </w:pPr>
      <w:r w:rsidRPr="00D20EFD">
        <w:rPr>
          <w:rFonts w:ascii="Arial" w:hAnsi="Arial" w:cs="Arial"/>
          <w:sz w:val="22"/>
          <w:szCs w:val="22"/>
        </w:rPr>
        <w:t xml:space="preserve">We have written to CMS before regarding the need for additional clarity and support for other members of the care team, to be included in these positive changes. We believe CMS has gone a long way toward the goal of inclusion. We are hopeful that CMS is currently in the process of working to clarify some aspects of these changes and we include these areas of needed </w:t>
      </w:r>
      <w:proofErr w:type="gramStart"/>
      <w:r w:rsidRPr="00D20EFD">
        <w:rPr>
          <w:rFonts w:ascii="Arial" w:hAnsi="Arial" w:cs="Arial"/>
          <w:sz w:val="22"/>
          <w:szCs w:val="22"/>
        </w:rPr>
        <w:t>clarity  again</w:t>
      </w:r>
      <w:proofErr w:type="gramEnd"/>
      <w:r w:rsidRPr="00D20EFD">
        <w:rPr>
          <w:rFonts w:ascii="Arial" w:hAnsi="Arial" w:cs="Arial"/>
          <w:sz w:val="22"/>
          <w:szCs w:val="22"/>
        </w:rPr>
        <w:t xml:space="preserve"> here to ensure that CMS entertains them as part of this request for information. Many institutions are not implementing the changes CMS has already made that allow a teaching physician to use a student note as part of the documentation in the patient’s record for billing of E&amp;M codes. We understand that the bulk of the lack of implementation is due to concerns on the part of compliance officers related to lack of clarity of the guidance.  </w:t>
      </w:r>
    </w:p>
    <w:p w14:paraId="40881291" w14:textId="77777777" w:rsidR="00D20EFD" w:rsidRPr="00D20EFD" w:rsidRDefault="00D20EFD" w:rsidP="00D20EFD"/>
    <w:p w14:paraId="3D0946FD" w14:textId="77777777" w:rsidR="00F93999" w:rsidRDefault="00D20EFD" w:rsidP="00D20EFD">
      <w:pPr>
        <w:rPr>
          <w:rFonts w:ascii="Arial" w:hAnsi="Arial" w:cs="Arial"/>
          <w:sz w:val="22"/>
          <w:szCs w:val="22"/>
        </w:rPr>
      </w:pPr>
      <w:r w:rsidRPr="00D20EFD">
        <w:rPr>
          <w:rFonts w:ascii="Arial" w:hAnsi="Arial" w:cs="Arial"/>
          <w:sz w:val="22"/>
          <w:szCs w:val="22"/>
        </w:rPr>
        <w:t xml:space="preserve">We have developed what we believe is a reasonable solution to this lack of clarity that will address outstanding questions of what “physical presence” entails, and what documentation is needed when residents are involved with students in training. Please see the five scenarios at the end of this communication that, if incorporated in the teaching physician guidelines, by way of a transmittal, would be a remedy that CMS can use to address the lack of clarity among compliance officers without requiring a change to regulation(s). Chapter 12 of the Medicare Claims Processing Manual Section 100.1.1 – Evaluation and Management (E/M) Services has a section A that discusses </w:t>
      </w:r>
    </w:p>
    <w:p w14:paraId="3F3D270F" w14:textId="27F52E9B" w:rsidR="00D20EFD" w:rsidRPr="00D20EFD" w:rsidRDefault="00D20EFD" w:rsidP="00D20EFD">
      <w:pPr>
        <w:rPr>
          <w:rFonts w:ascii="Arial" w:hAnsi="Arial" w:cs="Arial"/>
          <w:sz w:val="22"/>
          <w:szCs w:val="22"/>
          <w:lang w:bidi="en-US"/>
        </w:rPr>
      </w:pPr>
      <w:proofErr w:type="gramStart"/>
      <w:r w:rsidRPr="00D20EFD">
        <w:rPr>
          <w:rFonts w:ascii="Arial" w:hAnsi="Arial" w:cs="Arial"/>
          <w:sz w:val="22"/>
          <w:szCs w:val="22"/>
        </w:rPr>
        <w:lastRenderedPageBreak/>
        <w:t>“General Documentation Instructions and Common Scenarios.”</w:t>
      </w:r>
      <w:proofErr w:type="gramEnd"/>
      <w:r w:rsidRPr="00D20EFD">
        <w:rPr>
          <w:rFonts w:ascii="Arial" w:hAnsi="Arial" w:cs="Arial"/>
          <w:sz w:val="22"/>
          <w:szCs w:val="22"/>
        </w:rPr>
        <w:t xml:space="preserve"> These scenarios describe common situations involving the teaching physician and residents. We recommend adding the scenarios we have developed that address student involvement (both with and without resident involvement.)  </w:t>
      </w:r>
    </w:p>
    <w:p w14:paraId="281030E2" w14:textId="77777777" w:rsidR="00D20EFD" w:rsidRPr="00D20EFD" w:rsidRDefault="00D20EFD" w:rsidP="00D20EFD">
      <w:pPr>
        <w:rPr>
          <w:rFonts w:ascii="Arial" w:hAnsi="Arial" w:cs="Arial"/>
          <w:b/>
          <w:sz w:val="22"/>
          <w:szCs w:val="22"/>
        </w:rPr>
      </w:pPr>
    </w:p>
    <w:p w14:paraId="10301E0E" w14:textId="77777777" w:rsidR="00D20EFD" w:rsidRPr="00D20EFD" w:rsidRDefault="00D20EFD" w:rsidP="00D20EFD">
      <w:pPr>
        <w:rPr>
          <w:rFonts w:ascii="Arial" w:hAnsi="Arial" w:cs="Arial"/>
          <w:sz w:val="22"/>
          <w:szCs w:val="22"/>
        </w:rPr>
      </w:pPr>
    </w:p>
    <w:p w14:paraId="20FDAB4C" w14:textId="77777777" w:rsidR="00D20EFD" w:rsidRPr="00D20EFD" w:rsidRDefault="00D20EFD" w:rsidP="00D20EFD">
      <w:pPr>
        <w:rPr>
          <w:rFonts w:ascii="Arial" w:hAnsi="Arial" w:cs="Arial"/>
          <w:sz w:val="22"/>
          <w:szCs w:val="22"/>
        </w:rPr>
      </w:pPr>
      <w:r w:rsidRPr="00D20EFD">
        <w:rPr>
          <w:rFonts w:ascii="Arial" w:hAnsi="Arial" w:cs="Arial"/>
          <w:b/>
          <w:i/>
          <w:sz w:val="22"/>
          <w:szCs w:val="22"/>
        </w:rPr>
        <w:t>Additional Codes Needed for the Primary Care Exception (§§ 415.174):</w:t>
      </w:r>
    </w:p>
    <w:p w14:paraId="3EA13C88" w14:textId="77777777" w:rsidR="00D20EFD" w:rsidRPr="00D20EFD" w:rsidRDefault="00D20EFD" w:rsidP="00D20EFD">
      <w:pPr>
        <w:rPr>
          <w:rFonts w:ascii="Arial" w:hAnsi="Arial" w:cs="Arial"/>
          <w:sz w:val="22"/>
          <w:szCs w:val="22"/>
        </w:rPr>
      </w:pPr>
      <w:r w:rsidRPr="00D20EFD">
        <w:rPr>
          <w:rFonts w:ascii="Arial" w:hAnsi="Arial" w:cs="Arial"/>
          <w:sz w:val="22"/>
          <w:szCs w:val="22"/>
        </w:rPr>
        <w:t xml:space="preserve">One of areas that we believe CMS can reduce overly burdensome policies that aren’t necessary to protect patient care is the inclusion of additional codes to the primary care exception of the Teaching Physician Rule. This exception has been in place since the mid 1990’s and has been an outstanding success. In the intervening years CMS has only added a few codes to this list (the annual wellness visit and the initial preventive for new Medicare beneficiaries (G0402, G0438, and G0439), yet, as CMS recognizes, practice has changed over the years. We believe CMS should recognize the extent of change in primary care practice and include additional codes, described below, into the primary care exception.  This would only require a change to CMS program instructions, not regulation. </w:t>
      </w:r>
    </w:p>
    <w:p w14:paraId="4A9BF08B" w14:textId="77777777" w:rsidR="00D20EFD" w:rsidRPr="00D20EFD" w:rsidRDefault="00D20EFD" w:rsidP="00D20EFD"/>
    <w:p w14:paraId="5B67D4BE" w14:textId="2865917B" w:rsidR="00D20EFD" w:rsidRPr="00D20EFD" w:rsidRDefault="00D20EFD" w:rsidP="00D20EFD">
      <w:pPr>
        <w:pStyle w:val="ListParagraph"/>
        <w:numPr>
          <w:ilvl w:val="0"/>
          <w:numId w:val="4"/>
        </w:numPr>
        <w:rPr>
          <w:rFonts w:ascii="Arial" w:hAnsi="Arial" w:cs="Arial"/>
          <w:sz w:val="22"/>
          <w:szCs w:val="22"/>
        </w:rPr>
      </w:pPr>
      <w:r w:rsidRPr="00D20EFD">
        <w:rPr>
          <w:rFonts w:ascii="Arial" w:hAnsi="Arial" w:cs="Arial"/>
          <w:sz w:val="22"/>
          <w:szCs w:val="22"/>
        </w:rPr>
        <w:t xml:space="preserve">We request the inclusion of 99204 and 99214 E&amp;M codes in the primary care exception. </w:t>
      </w:r>
    </w:p>
    <w:p w14:paraId="1858F96D" w14:textId="77777777" w:rsidR="00D20EFD" w:rsidRPr="00D20EFD" w:rsidRDefault="00D20EFD" w:rsidP="00D20EFD">
      <w:pPr>
        <w:pStyle w:val="ListParagraph"/>
        <w:ind w:left="1440"/>
        <w:rPr>
          <w:rFonts w:ascii="Arial" w:hAnsi="Arial" w:cs="Arial"/>
          <w:sz w:val="22"/>
          <w:szCs w:val="22"/>
        </w:rPr>
      </w:pPr>
    </w:p>
    <w:p w14:paraId="39596B78" w14:textId="77777777" w:rsidR="00D20EFD" w:rsidRPr="00D20EFD" w:rsidRDefault="00D20EFD" w:rsidP="00D20EFD">
      <w:pPr>
        <w:rPr>
          <w:rFonts w:ascii="Arial" w:hAnsi="Arial" w:cs="Arial"/>
          <w:sz w:val="22"/>
          <w:szCs w:val="22"/>
        </w:rPr>
      </w:pPr>
      <w:r w:rsidRPr="00D20EFD">
        <w:rPr>
          <w:rFonts w:ascii="Arial" w:hAnsi="Arial" w:cs="Arial"/>
          <w:sz w:val="22"/>
          <w:szCs w:val="22"/>
        </w:rPr>
        <w:t xml:space="preserve">The primary care exception was included in regulation in the mid 1990’s in acknowledgment by CMS that primary care residents need autonomous experience without being hampered by the insertion of a faculty member into patient care visits to develop the self-reliance necessary for independent ambulatory continuity practice as well as an independent, trusting relationship with a panel of patients.  CMS implemented this concept by limiting the circumstances in which residents could see patients without the teaching physician’s presence. One of the limitations related to the complexity of the visits. Only less complex visit codes were allowed to be part of the exception. </w:t>
      </w:r>
    </w:p>
    <w:p w14:paraId="367CAA65" w14:textId="77777777" w:rsidR="00D20EFD" w:rsidRPr="00D20EFD" w:rsidRDefault="00D20EFD" w:rsidP="00D20EFD">
      <w:pPr>
        <w:rPr>
          <w:rFonts w:ascii="Arial" w:hAnsi="Arial" w:cs="Arial"/>
          <w:sz w:val="22"/>
          <w:szCs w:val="22"/>
        </w:rPr>
      </w:pPr>
    </w:p>
    <w:p w14:paraId="67A1A953" w14:textId="77777777" w:rsidR="00D20EFD" w:rsidRPr="00D20EFD" w:rsidRDefault="00D20EFD" w:rsidP="00D20EFD">
      <w:pPr>
        <w:rPr>
          <w:rFonts w:ascii="Arial" w:hAnsi="Arial" w:cs="Arial"/>
          <w:sz w:val="22"/>
          <w:szCs w:val="22"/>
        </w:rPr>
      </w:pPr>
      <w:r w:rsidRPr="00D20EFD">
        <w:rPr>
          <w:rFonts w:ascii="Arial" w:hAnsi="Arial" w:cs="Arial"/>
          <w:sz w:val="22"/>
          <w:szCs w:val="22"/>
        </w:rPr>
        <w:t xml:space="preserve">Historically, CMS has only allowed E&amp;M codes 99201-99203 and 99211-99213 to be included in the primary care exception to the teaching physician rule. This made sense at the time of the establishment of the exception, as the 99204s and 99214s were considered complex visits often involving patients with acute or unstable chronic conditions requiring the teaching physician to personally examine and assess the patient in order to assure a high standard of care.  However, within the Medicare population it is not unusual to find patients with three or more chronic conditions presenting for new and follow-up visits that require a level of time and decision-making consistent with a level 4 code for management of multiple chronic conditions, but do not involve a level of diagnostic complexity that is beyond the resident physician’s ability to provide quality care with indirect supervision. In addition, in recent years, medical training has moved further toward competency-based assessment and rigorous standards have been put in place regarding supervision. </w:t>
      </w:r>
    </w:p>
    <w:p w14:paraId="3FE9BDAD" w14:textId="77777777" w:rsidR="00D20EFD" w:rsidRPr="00D20EFD" w:rsidRDefault="00D20EFD" w:rsidP="00D20EFD">
      <w:pPr>
        <w:rPr>
          <w:rFonts w:ascii="Arial" w:hAnsi="Arial" w:cs="Arial"/>
          <w:sz w:val="22"/>
          <w:szCs w:val="22"/>
        </w:rPr>
      </w:pPr>
    </w:p>
    <w:p w14:paraId="051E7E9A" w14:textId="77777777" w:rsidR="00D20EFD" w:rsidRPr="00D20EFD" w:rsidRDefault="00D20EFD" w:rsidP="00D20EFD">
      <w:pPr>
        <w:rPr>
          <w:rFonts w:ascii="Arial" w:hAnsi="Arial" w:cs="Arial"/>
          <w:sz w:val="22"/>
          <w:szCs w:val="22"/>
        </w:rPr>
      </w:pPr>
      <w:r w:rsidRPr="00D20EFD">
        <w:rPr>
          <w:rFonts w:ascii="Arial" w:hAnsi="Arial" w:cs="Arial"/>
          <w:sz w:val="22"/>
          <w:szCs w:val="22"/>
        </w:rPr>
        <w:t>In fact, the ACGME has moved toward competency-based education by the development of the common program requirements. (</w:t>
      </w:r>
      <w:hyperlink r:id="rId10" w:history="1">
        <w:r w:rsidRPr="00D20EFD">
          <w:rPr>
            <w:rStyle w:val="Hyperlink"/>
            <w:rFonts w:ascii="Arial" w:hAnsi="Arial" w:cs="Arial"/>
            <w:sz w:val="22"/>
            <w:szCs w:val="22"/>
          </w:rPr>
          <w:t>https://www.acgme.org/What-We-Do/Accreditation/Common-Program-Requirements</w:t>
        </w:r>
      </w:hyperlink>
      <w:r w:rsidRPr="00D20EFD">
        <w:rPr>
          <w:rFonts w:ascii="Arial" w:hAnsi="Arial" w:cs="Arial"/>
          <w:sz w:val="22"/>
          <w:szCs w:val="22"/>
        </w:rPr>
        <w:t xml:space="preserve"> ) These requirements were developed specifically for the purpose of producing independent, well trained physicians in the context of patient safety. This is a concept CMS recognized when it developed regulations in the mid-90s that created the primary care exception. ACGME notes that “combined with gradually increasing authority and independence, supervision and feedback allow resident physicians to make the transition from novice learner to proficient practitioner at the completion of residency training. At the same time, excessive supervision without progressive independence, as resident physicians acquire knowledge and skills, may hamper their progression from learner to competent practitioner in their discipline.”(</w:t>
      </w:r>
      <w:hyperlink r:id="rId11" w:history="1">
        <w:r w:rsidRPr="00D20EFD">
          <w:rPr>
            <w:rStyle w:val="Hyperlink"/>
            <w:rFonts w:ascii="Arial" w:hAnsi="Arial" w:cs="Arial"/>
            <w:sz w:val="22"/>
            <w:szCs w:val="22"/>
          </w:rPr>
          <w:t>https://www.acgme.org/What-We-Do/Accreditation/Clinical-Experience-and-Education-formerly-Duty-Hours/Research-and-Testimony</w:t>
        </w:r>
      </w:hyperlink>
      <w:r w:rsidRPr="00D20EFD">
        <w:rPr>
          <w:rFonts w:ascii="Arial" w:hAnsi="Arial" w:cs="Arial"/>
          <w:sz w:val="22"/>
          <w:szCs w:val="22"/>
        </w:rPr>
        <w:t xml:space="preserve"> (Chapter 6 New Supervision Standards: Discussion </w:t>
      </w:r>
      <w:proofErr w:type="gramStart"/>
      <w:r w:rsidRPr="00D20EFD">
        <w:rPr>
          <w:rFonts w:ascii="Arial" w:hAnsi="Arial" w:cs="Arial"/>
          <w:sz w:val="22"/>
          <w:szCs w:val="22"/>
        </w:rPr>
        <w:t>And</w:t>
      </w:r>
      <w:proofErr w:type="gramEnd"/>
      <w:r w:rsidRPr="00D20EFD">
        <w:rPr>
          <w:rFonts w:ascii="Arial" w:hAnsi="Arial" w:cs="Arial"/>
          <w:sz w:val="22"/>
          <w:szCs w:val="22"/>
        </w:rPr>
        <w:t xml:space="preserve"> Justification)) </w:t>
      </w:r>
    </w:p>
    <w:p w14:paraId="7DEB8ADF" w14:textId="77777777" w:rsidR="00D20EFD" w:rsidRPr="00D20EFD" w:rsidRDefault="00D20EFD" w:rsidP="00D20EFD">
      <w:pPr>
        <w:rPr>
          <w:rFonts w:ascii="Arial" w:hAnsi="Arial" w:cs="Arial"/>
          <w:sz w:val="22"/>
          <w:szCs w:val="22"/>
        </w:rPr>
      </w:pPr>
    </w:p>
    <w:p w14:paraId="503B7E4D" w14:textId="77777777" w:rsidR="00D20EFD" w:rsidRPr="00D20EFD" w:rsidRDefault="00D20EFD" w:rsidP="00D20EFD">
      <w:pPr>
        <w:rPr>
          <w:rFonts w:ascii="Arial" w:hAnsi="Arial" w:cs="Arial"/>
          <w:sz w:val="22"/>
          <w:szCs w:val="22"/>
        </w:rPr>
      </w:pPr>
      <w:r w:rsidRPr="00D20EFD">
        <w:rPr>
          <w:rFonts w:ascii="Arial" w:hAnsi="Arial" w:cs="Arial"/>
          <w:sz w:val="22"/>
          <w:szCs w:val="22"/>
        </w:rPr>
        <w:t xml:space="preserve">These Common Program Requirements compel the establishment of Clinical Competency Committee (CCC) in each accredited residency and fellowship. The committee reviews all resident physicians twice a year, evaluating the resident physician’s progress. As part of those evaluations, the committee determines whether (and for what purposes) the resident physician is ready for direct vs indirect supervision. </w:t>
      </w:r>
    </w:p>
    <w:p w14:paraId="15694264" w14:textId="77777777" w:rsidR="00D20EFD" w:rsidRPr="00D20EFD" w:rsidRDefault="00D20EFD" w:rsidP="00D20EFD">
      <w:pPr>
        <w:rPr>
          <w:rFonts w:ascii="Arial" w:hAnsi="Arial" w:cs="Arial"/>
          <w:sz w:val="22"/>
          <w:szCs w:val="22"/>
        </w:rPr>
      </w:pPr>
    </w:p>
    <w:p w14:paraId="0224B7D2" w14:textId="77777777" w:rsidR="00D20EFD" w:rsidRPr="00D20EFD" w:rsidRDefault="00D20EFD" w:rsidP="00D20EFD">
      <w:pPr>
        <w:rPr>
          <w:rFonts w:ascii="Arial" w:hAnsi="Arial" w:cs="Arial"/>
          <w:sz w:val="22"/>
          <w:szCs w:val="22"/>
        </w:rPr>
      </w:pPr>
      <w:r w:rsidRPr="00D20EFD">
        <w:rPr>
          <w:rFonts w:ascii="Arial" w:hAnsi="Arial" w:cs="Arial"/>
          <w:sz w:val="22"/>
          <w:szCs w:val="22"/>
        </w:rPr>
        <w:t>With these internal processes in place, we believe it is both safe and advantageous for CMS to include the 99204 and 99214 E&amp;M codes in the primary care exception. Our goal is to reduce unnecessary bureaucracy, not appropriate supervision. In fact, this change would free up preceptors to spend more time with resident physicians on complex and unstable patients, no matter what code is being billed.</w:t>
      </w:r>
    </w:p>
    <w:p w14:paraId="55AC9D53" w14:textId="77777777" w:rsidR="00D20EFD" w:rsidRPr="00D20EFD" w:rsidRDefault="00D20EFD" w:rsidP="00D20EFD"/>
    <w:p w14:paraId="5A1C4F2C" w14:textId="77777777" w:rsidR="00D20EFD" w:rsidRPr="00D20EFD" w:rsidRDefault="00D20EFD" w:rsidP="00D20EFD">
      <w:pPr>
        <w:numPr>
          <w:ilvl w:val="0"/>
          <w:numId w:val="1"/>
        </w:numPr>
        <w:rPr>
          <w:rFonts w:ascii="Arial" w:hAnsi="Arial" w:cs="Arial"/>
          <w:sz w:val="22"/>
          <w:szCs w:val="22"/>
        </w:rPr>
      </w:pPr>
      <w:r w:rsidRPr="00D20EFD">
        <w:rPr>
          <w:rFonts w:ascii="Arial" w:hAnsi="Arial" w:cs="Arial"/>
          <w:sz w:val="22"/>
          <w:szCs w:val="22"/>
        </w:rPr>
        <w:lastRenderedPageBreak/>
        <w:t xml:space="preserve">We request the inclusion of additional codes relating to chronic care management, transition to care, home visits, group and virtual visits in the primary care exception. </w:t>
      </w:r>
    </w:p>
    <w:p w14:paraId="0B16298C" w14:textId="77777777" w:rsidR="00D20EFD" w:rsidRPr="00D20EFD" w:rsidRDefault="00D20EFD" w:rsidP="00D20EFD">
      <w:pPr>
        <w:rPr>
          <w:rFonts w:ascii="Arial" w:hAnsi="Arial" w:cs="Arial"/>
          <w:sz w:val="22"/>
          <w:szCs w:val="22"/>
        </w:rPr>
      </w:pPr>
    </w:p>
    <w:p w14:paraId="6C449C2D" w14:textId="77777777" w:rsidR="00D20EFD" w:rsidRPr="00D20EFD" w:rsidRDefault="00D20EFD" w:rsidP="00D20EFD">
      <w:pPr>
        <w:rPr>
          <w:rFonts w:ascii="Arial" w:hAnsi="Arial" w:cs="Arial"/>
          <w:sz w:val="22"/>
          <w:szCs w:val="22"/>
        </w:rPr>
      </w:pPr>
      <w:r w:rsidRPr="00D20EFD">
        <w:rPr>
          <w:rFonts w:ascii="Arial" w:hAnsi="Arial" w:cs="Arial"/>
          <w:sz w:val="22"/>
          <w:szCs w:val="22"/>
        </w:rPr>
        <w:t xml:space="preserve">In recent years CMS has included the annual wellness visit and the initial preventive for new Medicare beneficiaries (G0402, G0438, and G0439). Similar to the argument above, with the changing practice of medicine and teaching since the Primary care exception  was put into place in the late 90’s we believe certain other codes should also be included in the Exception. For example, CMS has included new transition into care and chronic care management codes to pay separately for certain aspects of primary care services, but these codes have not been incorporated into the teaching situation of primary care education under the primary care exception . We request that they be added to the exception. </w:t>
      </w:r>
    </w:p>
    <w:p w14:paraId="1F284CA8" w14:textId="77777777" w:rsidR="00D20EFD" w:rsidRPr="00D20EFD" w:rsidRDefault="00D20EFD" w:rsidP="00D20EFD">
      <w:pPr>
        <w:rPr>
          <w:rFonts w:ascii="Arial" w:hAnsi="Arial" w:cs="Arial"/>
          <w:sz w:val="22"/>
          <w:szCs w:val="22"/>
        </w:rPr>
      </w:pPr>
    </w:p>
    <w:p w14:paraId="6811887E" w14:textId="77777777" w:rsidR="00D20EFD" w:rsidRPr="00D20EFD" w:rsidRDefault="00D20EFD" w:rsidP="00D20EFD">
      <w:pPr>
        <w:numPr>
          <w:ilvl w:val="0"/>
          <w:numId w:val="2"/>
        </w:numPr>
        <w:rPr>
          <w:rFonts w:ascii="Arial" w:hAnsi="Arial" w:cs="Arial"/>
          <w:sz w:val="22"/>
          <w:szCs w:val="22"/>
        </w:rPr>
      </w:pPr>
      <w:r w:rsidRPr="00D20EFD">
        <w:rPr>
          <w:rFonts w:ascii="Arial" w:hAnsi="Arial" w:cs="Arial"/>
          <w:b/>
          <w:sz w:val="22"/>
          <w:szCs w:val="22"/>
        </w:rPr>
        <w:t>Transition into Care</w:t>
      </w:r>
      <w:r w:rsidRPr="00D20EFD">
        <w:rPr>
          <w:rFonts w:ascii="Arial" w:hAnsi="Arial" w:cs="Arial"/>
          <w:sz w:val="22"/>
          <w:szCs w:val="22"/>
        </w:rPr>
        <w:t>. These codes are specific to Medicare.  They are billed once the medical provider has met with the patient after discharge.  According to Medicare regulations, if the patient is not seen within 14 days of discharge this code cannot be used and an appropriate E &amp; M code should be used.  With each of these codes, face-to-face visits with a medical provider are required. We believe a resident physician should be considered an appropriate medical provider and they should be able to be billed by the teaching physician under the primary care exception.</w:t>
      </w:r>
    </w:p>
    <w:p w14:paraId="03AE4436" w14:textId="77777777" w:rsidR="00D20EFD" w:rsidRPr="00D20EFD" w:rsidRDefault="00D20EFD" w:rsidP="00D20EFD">
      <w:pPr>
        <w:rPr>
          <w:rFonts w:ascii="Arial" w:hAnsi="Arial" w:cs="Arial"/>
          <w:b/>
          <w:bCs/>
          <w:sz w:val="22"/>
          <w:szCs w:val="22"/>
        </w:rPr>
      </w:pPr>
    </w:p>
    <w:p w14:paraId="4F7B7773" w14:textId="77777777" w:rsidR="00D20EFD" w:rsidRPr="00D20EFD" w:rsidRDefault="00D20EFD" w:rsidP="00B05ED0">
      <w:pPr>
        <w:ind w:left="360"/>
        <w:rPr>
          <w:rFonts w:ascii="Arial" w:hAnsi="Arial" w:cs="Arial"/>
          <w:sz w:val="22"/>
          <w:szCs w:val="22"/>
        </w:rPr>
      </w:pPr>
      <w:r w:rsidRPr="00D20EFD">
        <w:rPr>
          <w:rFonts w:ascii="Arial" w:hAnsi="Arial" w:cs="Arial"/>
          <w:b/>
          <w:bCs/>
          <w:sz w:val="22"/>
          <w:szCs w:val="22"/>
        </w:rPr>
        <w:t>99495</w:t>
      </w:r>
      <w:r w:rsidRPr="00D20EFD">
        <w:rPr>
          <w:rFonts w:ascii="Arial" w:hAnsi="Arial" w:cs="Arial"/>
          <w:sz w:val="22"/>
          <w:szCs w:val="22"/>
        </w:rPr>
        <w:t> – Transitional Care Management with moderate medical decision complexity (face-to-face visit with a medical provider w/in 14 days of discharge from an acute care hospital, psychiatric hospital, LTC hospital, SNF, inpatient rehabilitation, Hospital outpatient observation or partial hospitalization).</w:t>
      </w:r>
    </w:p>
    <w:p w14:paraId="4EA25A95" w14:textId="77777777" w:rsidR="00D20EFD" w:rsidRPr="00D20EFD" w:rsidRDefault="00D20EFD" w:rsidP="00B05ED0">
      <w:pPr>
        <w:ind w:left="360"/>
        <w:rPr>
          <w:rFonts w:ascii="Arial" w:hAnsi="Arial" w:cs="Arial"/>
          <w:b/>
          <w:bCs/>
          <w:sz w:val="22"/>
          <w:szCs w:val="22"/>
        </w:rPr>
      </w:pPr>
    </w:p>
    <w:p w14:paraId="4579DDDF" w14:textId="77777777" w:rsidR="00D20EFD" w:rsidRPr="00D20EFD" w:rsidRDefault="00D20EFD" w:rsidP="00B05ED0">
      <w:pPr>
        <w:ind w:left="360"/>
        <w:rPr>
          <w:rFonts w:ascii="Arial" w:hAnsi="Arial" w:cs="Arial"/>
          <w:sz w:val="22"/>
          <w:szCs w:val="22"/>
        </w:rPr>
      </w:pPr>
      <w:r w:rsidRPr="00D20EFD">
        <w:rPr>
          <w:rFonts w:ascii="Arial" w:hAnsi="Arial" w:cs="Arial"/>
          <w:b/>
          <w:bCs/>
          <w:sz w:val="22"/>
          <w:szCs w:val="22"/>
        </w:rPr>
        <w:t>99496</w:t>
      </w:r>
      <w:r w:rsidRPr="00D20EFD">
        <w:rPr>
          <w:rFonts w:ascii="Arial" w:hAnsi="Arial" w:cs="Arial"/>
          <w:sz w:val="22"/>
          <w:szCs w:val="22"/>
        </w:rPr>
        <w:t> – Transitional Care Management with complex medical decision complexity (face-to-face visit with a medical provider w/in 7 days of discharge from an acute care hospital, psychiatric hospital, LTC hospital, SNF, inpatient rehabilitation, Hospital outpatient observation or partial hospitalization).</w:t>
      </w:r>
    </w:p>
    <w:p w14:paraId="6F418262" w14:textId="77777777" w:rsidR="00D20EFD" w:rsidRPr="00D20EFD" w:rsidRDefault="00D20EFD" w:rsidP="00D20EFD">
      <w:pPr>
        <w:rPr>
          <w:rFonts w:ascii="Arial" w:hAnsi="Arial" w:cs="Arial"/>
          <w:sz w:val="22"/>
          <w:szCs w:val="22"/>
        </w:rPr>
      </w:pPr>
      <w:r w:rsidRPr="00D20EFD">
        <w:rPr>
          <w:rFonts w:ascii="Arial" w:hAnsi="Arial" w:cs="Arial"/>
          <w:b/>
          <w:bCs/>
          <w:sz w:val="22"/>
          <w:szCs w:val="22"/>
        </w:rPr>
        <w:t> </w:t>
      </w:r>
    </w:p>
    <w:p w14:paraId="3F33E9A8" w14:textId="77777777" w:rsidR="00D20EFD" w:rsidRPr="00D20EFD" w:rsidRDefault="00D20EFD" w:rsidP="00D20EFD">
      <w:pPr>
        <w:numPr>
          <w:ilvl w:val="0"/>
          <w:numId w:val="2"/>
        </w:numPr>
        <w:rPr>
          <w:rFonts w:ascii="Arial" w:hAnsi="Arial" w:cs="Arial"/>
          <w:sz w:val="22"/>
          <w:szCs w:val="22"/>
        </w:rPr>
      </w:pPr>
      <w:r w:rsidRPr="00D20EFD">
        <w:rPr>
          <w:rFonts w:ascii="Arial" w:hAnsi="Arial" w:cs="Arial"/>
          <w:b/>
          <w:sz w:val="22"/>
          <w:szCs w:val="22"/>
        </w:rPr>
        <w:t>Chronic Care Management (CCM)</w:t>
      </w:r>
      <w:r w:rsidRPr="00D20EFD">
        <w:rPr>
          <w:rFonts w:ascii="Arial" w:hAnsi="Arial" w:cs="Arial"/>
          <w:sz w:val="22"/>
          <w:szCs w:val="22"/>
        </w:rPr>
        <w:t xml:space="preserve"> – These services are mainly performed by clinical staff in support of the medical provider.  The actual face-to-face visit with a medical provider is an E &amp; M code: 99212, 99213, 99214, </w:t>
      </w:r>
      <w:proofErr w:type="gramStart"/>
      <w:r w:rsidRPr="00D20EFD">
        <w:rPr>
          <w:rFonts w:ascii="Arial" w:hAnsi="Arial" w:cs="Arial"/>
          <w:sz w:val="22"/>
          <w:szCs w:val="22"/>
        </w:rPr>
        <w:t>99215</w:t>
      </w:r>
      <w:proofErr w:type="gramEnd"/>
      <w:r w:rsidRPr="00D20EFD">
        <w:rPr>
          <w:rFonts w:ascii="Arial" w:hAnsi="Arial" w:cs="Arial"/>
          <w:sz w:val="22"/>
          <w:szCs w:val="22"/>
        </w:rPr>
        <w:t xml:space="preserve">.  The CCM codes are a monthly code that is billed for the services performed by other clinical staff. </w:t>
      </w:r>
    </w:p>
    <w:p w14:paraId="459795D7" w14:textId="77777777" w:rsidR="00D20EFD" w:rsidRPr="00D20EFD" w:rsidRDefault="00D20EFD" w:rsidP="00D20EFD">
      <w:pPr>
        <w:rPr>
          <w:rFonts w:ascii="Arial" w:hAnsi="Arial" w:cs="Arial"/>
          <w:sz w:val="22"/>
          <w:szCs w:val="22"/>
        </w:rPr>
      </w:pPr>
    </w:p>
    <w:p w14:paraId="635C41B4" w14:textId="77777777" w:rsidR="00D20EFD" w:rsidRPr="00D20EFD" w:rsidRDefault="00D20EFD" w:rsidP="00B05ED0">
      <w:pPr>
        <w:ind w:left="360"/>
        <w:rPr>
          <w:rFonts w:ascii="Arial" w:hAnsi="Arial" w:cs="Arial"/>
          <w:sz w:val="22"/>
          <w:szCs w:val="22"/>
        </w:rPr>
      </w:pPr>
      <w:r w:rsidRPr="00D20EFD">
        <w:rPr>
          <w:rFonts w:ascii="Arial" w:hAnsi="Arial" w:cs="Arial"/>
          <w:b/>
          <w:bCs/>
          <w:sz w:val="22"/>
          <w:szCs w:val="22"/>
        </w:rPr>
        <w:t>99490 – </w:t>
      </w:r>
      <w:r w:rsidRPr="00D20EFD">
        <w:rPr>
          <w:rFonts w:ascii="Arial" w:hAnsi="Arial" w:cs="Arial"/>
          <w:sz w:val="22"/>
          <w:szCs w:val="22"/>
        </w:rPr>
        <w:t>CCM; requires 20 minutes or more of clinical staff time</w:t>
      </w:r>
    </w:p>
    <w:p w14:paraId="6551861B" w14:textId="77777777" w:rsidR="00D20EFD" w:rsidRPr="00D20EFD" w:rsidRDefault="00D20EFD" w:rsidP="00B05ED0">
      <w:pPr>
        <w:ind w:left="360"/>
        <w:rPr>
          <w:rFonts w:ascii="Arial" w:hAnsi="Arial" w:cs="Arial"/>
          <w:sz w:val="22"/>
          <w:szCs w:val="22"/>
        </w:rPr>
      </w:pPr>
      <w:r w:rsidRPr="00D20EFD">
        <w:rPr>
          <w:rFonts w:ascii="Arial" w:hAnsi="Arial" w:cs="Arial"/>
          <w:b/>
          <w:bCs/>
          <w:sz w:val="22"/>
          <w:szCs w:val="22"/>
        </w:rPr>
        <w:t>99487 – </w:t>
      </w:r>
      <w:r w:rsidRPr="00D20EFD">
        <w:rPr>
          <w:rFonts w:ascii="Arial" w:hAnsi="Arial" w:cs="Arial"/>
          <w:sz w:val="22"/>
          <w:szCs w:val="22"/>
        </w:rPr>
        <w:t>Complex CCM; requires 60 minutes of clinical staff time</w:t>
      </w:r>
    </w:p>
    <w:p w14:paraId="0392B359" w14:textId="77777777" w:rsidR="00D20EFD" w:rsidRPr="00D20EFD" w:rsidRDefault="00D20EFD" w:rsidP="00B05ED0">
      <w:pPr>
        <w:ind w:left="360"/>
        <w:rPr>
          <w:rFonts w:ascii="Arial" w:hAnsi="Arial" w:cs="Arial"/>
          <w:sz w:val="22"/>
          <w:szCs w:val="22"/>
        </w:rPr>
      </w:pPr>
      <w:r w:rsidRPr="00D20EFD">
        <w:rPr>
          <w:rFonts w:ascii="Arial" w:hAnsi="Arial" w:cs="Arial"/>
          <w:b/>
          <w:bCs/>
          <w:sz w:val="22"/>
          <w:szCs w:val="22"/>
        </w:rPr>
        <w:t>99489 – </w:t>
      </w:r>
      <w:r w:rsidRPr="00D20EFD">
        <w:rPr>
          <w:rFonts w:ascii="Arial" w:hAnsi="Arial" w:cs="Arial"/>
          <w:sz w:val="22"/>
          <w:szCs w:val="22"/>
        </w:rPr>
        <w:t>Each additional 30 minutes of clinical staff time during the month; an add-on to 99487.</w:t>
      </w:r>
    </w:p>
    <w:p w14:paraId="2DF70246" w14:textId="77777777" w:rsidR="00D20EFD" w:rsidRPr="00D20EFD" w:rsidRDefault="00D20EFD" w:rsidP="00D20EFD">
      <w:pPr>
        <w:rPr>
          <w:rFonts w:ascii="Arial" w:hAnsi="Arial" w:cs="Arial"/>
          <w:sz w:val="22"/>
          <w:szCs w:val="22"/>
        </w:rPr>
      </w:pPr>
    </w:p>
    <w:p w14:paraId="781EFFF5" w14:textId="77777777" w:rsidR="00D20EFD" w:rsidRPr="00D20EFD" w:rsidRDefault="00D20EFD" w:rsidP="00D20EFD">
      <w:pPr>
        <w:numPr>
          <w:ilvl w:val="0"/>
          <w:numId w:val="2"/>
        </w:numPr>
        <w:rPr>
          <w:rFonts w:ascii="Arial" w:hAnsi="Arial" w:cs="Arial"/>
          <w:sz w:val="22"/>
          <w:szCs w:val="22"/>
        </w:rPr>
      </w:pPr>
      <w:r w:rsidRPr="00D20EFD">
        <w:rPr>
          <w:rFonts w:ascii="Arial" w:hAnsi="Arial" w:cs="Arial"/>
          <w:b/>
          <w:sz w:val="22"/>
          <w:szCs w:val="22"/>
        </w:rPr>
        <w:t>Group visits, home visits, and virtual visits</w:t>
      </w:r>
      <w:r w:rsidRPr="00D20EFD">
        <w:rPr>
          <w:rFonts w:ascii="Arial" w:hAnsi="Arial" w:cs="Arial"/>
          <w:sz w:val="22"/>
          <w:szCs w:val="22"/>
        </w:rPr>
        <w:t>. Similar to the codes addressed above, we request that CMS consider these visits as appropriate to be included as part of the Primary care exception. We recognize that CMS is in the process of making changes related to coding these visits, however once those decisions have been made and finalized, we believe that resident physicians should be considered appropriate medical providers and they should be able to be billed by the teaching physician under the primary care exception.</w:t>
      </w:r>
    </w:p>
    <w:p w14:paraId="584E539D" w14:textId="77777777" w:rsidR="00D20EFD" w:rsidRPr="00D20EFD" w:rsidRDefault="00D20EFD" w:rsidP="00D20EFD">
      <w:pPr>
        <w:rPr>
          <w:rFonts w:ascii="Arial" w:hAnsi="Arial" w:cs="Arial"/>
          <w:sz w:val="22"/>
          <w:szCs w:val="22"/>
        </w:rPr>
      </w:pPr>
    </w:p>
    <w:p w14:paraId="4FEA8061" w14:textId="77777777" w:rsidR="00D20EFD" w:rsidRPr="00D20EFD" w:rsidRDefault="00D20EFD" w:rsidP="00D20EFD">
      <w:pPr>
        <w:rPr>
          <w:rFonts w:ascii="Arial" w:hAnsi="Arial" w:cs="Arial"/>
          <w:b/>
          <w:sz w:val="22"/>
          <w:szCs w:val="22"/>
        </w:rPr>
      </w:pPr>
      <w:r w:rsidRPr="00D20EFD">
        <w:rPr>
          <w:rFonts w:ascii="Arial" w:hAnsi="Arial" w:cs="Arial"/>
          <w:b/>
          <w:sz w:val="22"/>
          <w:szCs w:val="22"/>
        </w:rPr>
        <w:t>Regulatory Change Needed: Apply the Primary Care Exception to Teaching Health Centers</w:t>
      </w:r>
    </w:p>
    <w:p w14:paraId="724BFAFA" w14:textId="77777777" w:rsidR="00D20EFD" w:rsidRPr="00D20EFD" w:rsidRDefault="00D20EFD" w:rsidP="00D20EFD">
      <w:pPr>
        <w:rPr>
          <w:rFonts w:ascii="Arial" w:hAnsi="Arial" w:cs="Arial"/>
          <w:sz w:val="22"/>
          <w:szCs w:val="22"/>
        </w:rPr>
      </w:pPr>
      <w:r w:rsidRPr="00D20EFD">
        <w:rPr>
          <w:rFonts w:ascii="Arial" w:hAnsi="Arial" w:cs="Arial"/>
          <w:sz w:val="22"/>
          <w:szCs w:val="22"/>
        </w:rPr>
        <w:t xml:space="preserve">Under the Primary Care Exception, </w:t>
      </w:r>
      <w:r w:rsidRPr="00D20EFD">
        <w:rPr>
          <w:rFonts w:ascii="Arial" w:hAnsi="Arial" w:cs="Arial"/>
          <w:bCs/>
          <w:sz w:val="22"/>
          <w:szCs w:val="22"/>
        </w:rPr>
        <w:t>§415.174 (a)(1), the regulation states that “</w:t>
      </w:r>
      <w:r w:rsidRPr="00D20EFD">
        <w:rPr>
          <w:rFonts w:ascii="Arial" w:hAnsi="Arial" w:cs="Arial"/>
          <w:sz w:val="22"/>
          <w:szCs w:val="22"/>
        </w:rPr>
        <w:t>The services must be furnished in a center that is located in an outpatient department of a hospital or another ambulatory care entity in which the time spent by residents in patient care activities is included in determining intermediary payments to a hospital under §§413.75 through 413.83.</w:t>
      </w:r>
    </w:p>
    <w:p w14:paraId="67E83EAE" w14:textId="77777777" w:rsidR="00D20EFD" w:rsidRPr="00D20EFD" w:rsidRDefault="00D20EFD" w:rsidP="00D20EFD">
      <w:pPr>
        <w:rPr>
          <w:rFonts w:ascii="Arial" w:hAnsi="Arial" w:cs="Arial"/>
          <w:sz w:val="22"/>
          <w:szCs w:val="22"/>
        </w:rPr>
      </w:pPr>
    </w:p>
    <w:p w14:paraId="53B98EC6" w14:textId="77777777" w:rsidR="00D20EFD" w:rsidRPr="00D20EFD" w:rsidRDefault="00D20EFD" w:rsidP="00D20EFD">
      <w:pPr>
        <w:rPr>
          <w:rFonts w:ascii="Arial" w:hAnsi="Arial" w:cs="Arial"/>
          <w:sz w:val="22"/>
          <w:szCs w:val="22"/>
        </w:rPr>
      </w:pPr>
      <w:r w:rsidRPr="00D20EFD">
        <w:rPr>
          <w:rFonts w:ascii="Arial" w:hAnsi="Arial" w:cs="Arial"/>
          <w:sz w:val="22"/>
          <w:szCs w:val="22"/>
        </w:rPr>
        <w:t>The intermediary payments refer back to Medicare GME payments. Given that payments made under the Teaching Health Center Graduate Medical Education (THCGME) program, for training residents are reimbursed under Section 340H of the Public Health Service Act, THC resident training does not fit the requirements of the primary care exception. This is due to the historic anomaly of the primary care exception being established in regulation approximately 15 years before the existence of the THCGME program. We request that CMS allow the primary care exception to apply to THCGME training as well as Medicare GME training. A simple addition, underscored below, to the regulation would permit this change:</w:t>
      </w:r>
    </w:p>
    <w:p w14:paraId="10A71B8C" w14:textId="77777777" w:rsidR="00D20EFD" w:rsidRPr="00D20EFD" w:rsidRDefault="00D20EFD" w:rsidP="00D20EFD">
      <w:pPr>
        <w:rPr>
          <w:rFonts w:ascii="Arial" w:hAnsi="Arial" w:cs="Arial"/>
          <w:sz w:val="22"/>
          <w:szCs w:val="22"/>
        </w:rPr>
      </w:pPr>
    </w:p>
    <w:p w14:paraId="75D886A0" w14:textId="77777777" w:rsidR="00D20EFD" w:rsidRPr="00D20EFD" w:rsidRDefault="00D20EFD" w:rsidP="00B05ED0">
      <w:pPr>
        <w:ind w:left="1170" w:right="1350"/>
        <w:rPr>
          <w:rFonts w:ascii="Arial" w:hAnsi="Arial" w:cs="Arial"/>
          <w:sz w:val="22"/>
          <w:szCs w:val="22"/>
          <w:u w:val="single"/>
        </w:rPr>
      </w:pPr>
      <w:r w:rsidRPr="00D20EFD">
        <w:rPr>
          <w:rFonts w:ascii="Arial" w:hAnsi="Arial" w:cs="Arial"/>
          <w:bCs/>
          <w:sz w:val="22"/>
          <w:szCs w:val="22"/>
        </w:rPr>
        <w:t xml:space="preserve">§415.174 (a) (1), </w:t>
      </w:r>
      <w:r w:rsidRPr="00D20EFD">
        <w:rPr>
          <w:rFonts w:ascii="Arial" w:hAnsi="Arial" w:cs="Arial"/>
          <w:sz w:val="22"/>
          <w:szCs w:val="22"/>
        </w:rPr>
        <w:t xml:space="preserve">The services must be furnished in a center that is located in an outpatient department of a hospital or another ambulatory care entity in which the time </w:t>
      </w:r>
      <w:r w:rsidRPr="00D20EFD">
        <w:rPr>
          <w:rFonts w:ascii="Arial" w:hAnsi="Arial" w:cs="Arial"/>
          <w:sz w:val="22"/>
          <w:szCs w:val="22"/>
        </w:rPr>
        <w:lastRenderedPageBreak/>
        <w:t xml:space="preserve">spent by residents in patient care activities is included in determining intermediary payments to a hospital under §§413.75 through 413.83, </w:t>
      </w:r>
      <w:r w:rsidRPr="00D20EFD">
        <w:rPr>
          <w:rFonts w:ascii="Arial" w:hAnsi="Arial" w:cs="Arial"/>
          <w:sz w:val="22"/>
          <w:szCs w:val="22"/>
          <w:u w:val="single"/>
        </w:rPr>
        <w:t xml:space="preserve">or payments made under Section 340H of the Public Health Service Act.   </w:t>
      </w:r>
    </w:p>
    <w:p w14:paraId="0EB18DE2" w14:textId="77777777" w:rsidR="00D20EFD" w:rsidRPr="00D20EFD" w:rsidRDefault="00D20EFD" w:rsidP="00D20EFD"/>
    <w:p w14:paraId="4C9CBDD7" w14:textId="77777777" w:rsidR="00D20EFD" w:rsidRPr="00D20EFD" w:rsidRDefault="00D20EFD" w:rsidP="00D20EFD">
      <w:pPr>
        <w:rPr>
          <w:rFonts w:ascii="Arial" w:hAnsi="Arial" w:cs="Arial"/>
          <w:b/>
          <w:sz w:val="22"/>
          <w:szCs w:val="22"/>
        </w:rPr>
      </w:pPr>
      <w:r w:rsidRPr="00D20EFD">
        <w:rPr>
          <w:rFonts w:ascii="Arial" w:hAnsi="Arial" w:cs="Arial"/>
          <w:b/>
          <w:sz w:val="22"/>
          <w:szCs w:val="22"/>
        </w:rPr>
        <w:t>Policies or Regulations Causing Unintended Consequences to Rural Settings</w:t>
      </w:r>
    </w:p>
    <w:p w14:paraId="342BB76D" w14:textId="77777777" w:rsidR="00D20EFD" w:rsidRPr="00D20EFD" w:rsidRDefault="00D20EFD" w:rsidP="00D20EFD">
      <w:pPr>
        <w:rPr>
          <w:rFonts w:ascii="Arial" w:hAnsi="Arial" w:cs="Arial"/>
          <w:sz w:val="22"/>
          <w:szCs w:val="22"/>
        </w:rPr>
      </w:pPr>
      <w:r w:rsidRPr="00D20EFD">
        <w:rPr>
          <w:rFonts w:ascii="Arial" w:hAnsi="Arial" w:cs="Arial"/>
          <w:sz w:val="22"/>
          <w:szCs w:val="22"/>
        </w:rPr>
        <w:t>We very much appreciate the change included in the final rule regarding the FY2020 Hospital Inpatient Prospective Payment Systems (IPPS), ([CMS-1716-F] RIN 0938-AT73) regarding the ability of hospitals to count resident training time spent in critical access hospitals for graduate medical education payments. This change was something we had requested before and we are pleased that CMS has concurred with us and included this change. We would like CMS to entertain a few other changes to regulations or policies deleteriously affecting training in rural settings.</w:t>
      </w:r>
    </w:p>
    <w:p w14:paraId="0C288DAB" w14:textId="77777777" w:rsidR="00D20EFD" w:rsidRPr="00D20EFD" w:rsidRDefault="00D20EFD" w:rsidP="00D20EFD">
      <w:pPr>
        <w:rPr>
          <w:rFonts w:ascii="Arial" w:hAnsi="Arial" w:cs="Arial"/>
          <w:sz w:val="22"/>
          <w:szCs w:val="22"/>
        </w:rPr>
      </w:pPr>
      <w:r w:rsidRPr="00D20EFD">
        <w:rPr>
          <w:rFonts w:ascii="Arial" w:hAnsi="Arial" w:cs="Arial"/>
          <w:sz w:val="22"/>
          <w:szCs w:val="22"/>
        </w:rPr>
        <w:t>Our recommendations below stem from our belief that Medicare statutes and regulations should be changed – with a goal to promote rural physician training, rather than hinder or limit it. Of the needed changes, we believe several can be addressed in a regulatory fashion and the Centers for Medicare and Medicaid Services (CMS) has the authority to modify their current regulations, or their interpretation of their regulations, to further that goal.  Below are three areas of concern and proposed policy solutions to address them that we believe can be dealt with in a regulatory fashion, without the need for legislative solutions. Other additional concerns, related to rural GME, would require legislative solutions.</w:t>
      </w:r>
    </w:p>
    <w:p w14:paraId="0ACF8E06" w14:textId="77777777" w:rsidR="00D20EFD" w:rsidRPr="00D20EFD" w:rsidRDefault="00D20EFD" w:rsidP="00D20EFD">
      <w:pPr>
        <w:rPr>
          <w:rFonts w:ascii="Arial" w:hAnsi="Arial" w:cs="Arial"/>
          <w:sz w:val="22"/>
          <w:szCs w:val="22"/>
        </w:rPr>
      </w:pPr>
    </w:p>
    <w:p w14:paraId="578838CC" w14:textId="77777777" w:rsidR="00D20EFD" w:rsidRPr="00D20EFD" w:rsidRDefault="00D20EFD" w:rsidP="00D20EFD">
      <w:pPr>
        <w:numPr>
          <w:ilvl w:val="0"/>
          <w:numId w:val="3"/>
        </w:numPr>
        <w:rPr>
          <w:rFonts w:ascii="Arial" w:hAnsi="Arial" w:cs="Arial"/>
          <w:b/>
          <w:sz w:val="22"/>
          <w:szCs w:val="22"/>
        </w:rPr>
      </w:pPr>
      <w:r w:rsidRPr="00D20EFD">
        <w:rPr>
          <w:rFonts w:ascii="Arial" w:hAnsi="Arial" w:cs="Arial"/>
          <w:b/>
          <w:sz w:val="22"/>
          <w:szCs w:val="22"/>
        </w:rPr>
        <w:t>Remove Artificially Low Caps</w:t>
      </w:r>
      <w:r w:rsidRPr="00D20EFD">
        <w:rPr>
          <w:rFonts w:ascii="Arial" w:hAnsi="Arial" w:cs="Arial"/>
          <w:b/>
          <w:sz w:val="22"/>
          <w:szCs w:val="22"/>
          <w:vertAlign w:val="superscript"/>
        </w:rPr>
        <w:footnoteReference w:id="1"/>
      </w:r>
      <w:r w:rsidRPr="00D20EFD">
        <w:rPr>
          <w:rFonts w:ascii="Arial" w:hAnsi="Arial" w:cs="Arial"/>
          <w:b/>
          <w:sz w:val="22"/>
          <w:szCs w:val="22"/>
        </w:rPr>
        <w:t xml:space="preserve"> and Per Resident Amounts</w:t>
      </w:r>
      <w:r w:rsidRPr="00D20EFD">
        <w:rPr>
          <w:rFonts w:ascii="Arial" w:hAnsi="Arial" w:cs="Arial"/>
          <w:b/>
          <w:sz w:val="22"/>
          <w:szCs w:val="22"/>
          <w:vertAlign w:val="superscript"/>
        </w:rPr>
        <w:footnoteReference w:id="2"/>
      </w:r>
      <w:r w:rsidRPr="00D20EFD">
        <w:rPr>
          <w:rFonts w:ascii="Arial" w:hAnsi="Arial" w:cs="Arial"/>
          <w:b/>
          <w:sz w:val="22"/>
          <w:szCs w:val="22"/>
        </w:rPr>
        <w:t xml:space="preserve"> on Hospitals Accepting Rotating Residents for Limited Training Periods:</w:t>
      </w:r>
    </w:p>
    <w:p w14:paraId="1FF7C1ED" w14:textId="77777777" w:rsidR="00D20EFD" w:rsidRPr="00D20EFD" w:rsidRDefault="00D20EFD" w:rsidP="00D20EFD">
      <w:pPr>
        <w:rPr>
          <w:rFonts w:ascii="Arial" w:hAnsi="Arial" w:cs="Arial"/>
          <w:sz w:val="22"/>
          <w:szCs w:val="22"/>
        </w:rPr>
      </w:pPr>
      <w:r w:rsidRPr="00D20EFD">
        <w:rPr>
          <w:rFonts w:ascii="Arial" w:hAnsi="Arial" w:cs="Arial"/>
          <w:sz w:val="22"/>
          <w:szCs w:val="22"/>
        </w:rPr>
        <w:t xml:space="preserve">Two major limitations in funding rural graduate medical education exist based on current rules, or CMS interpretation of current rules, regarding the establishment of caps and per resident amounts. Transient, partial training of residents in rural hospitals has resulted in artificially low caps on resident training for these hospitals, and artificially low per resident amounts (PRAs) associated with that hospital. While the rural hospital may expand its cap by establishing a new program, once the cap is reset, the program cannot expand in the future. Of even more concern, the PRA is set forever, even though the hospital has never sponsored a training program, making it unlikely that a hospital will ever be able to start a new training program. </w:t>
      </w:r>
    </w:p>
    <w:p w14:paraId="7ED77670" w14:textId="77777777" w:rsidR="00D20EFD" w:rsidRPr="00D20EFD" w:rsidRDefault="00D20EFD" w:rsidP="00D20EFD">
      <w:pPr>
        <w:rPr>
          <w:rFonts w:ascii="Arial" w:hAnsi="Arial" w:cs="Arial"/>
          <w:sz w:val="22"/>
          <w:szCs w:val="22"/>
        </w:rPr>
      </w:pPr>
    </w:p>
    <w:p w14:paraId="2AE7A29F" w14:textId="77777777" w:rsidR="00D20EFD" w:rsidRPr="00D20EFD" w:rsidRDefault="00D20EFD" w:rsidP="00D20EFD">
      <w:pPr>
        <w:rPr>
          <w:rFonts w:ascii="Arial" w:hAnsi="Arial" w:cs="Arial"/>
          <w:sz w:val="22"/>
          <w:szCs w:val="22"/>
        </w:rPr>
      </w:pPr>
      <w:r w:rsidRPr="00D20EFD">
        <w:rPr>
          <w:rFonts w:ascii="Arial" w:hAnsi="Arial" w:cs="Arial"/>
          <w:b/>
          <w:sz w:val="22"/>
          <w:szCs w:val="22"/>
        </w:rPr>
        <w:t xml:space="preserve">Solution needed:  </w:t>
      </w:r>
      <w:r w:rsidRPr="00D20EFD">
        <w:rPr>
          <w:rFonts w:ascii="Arial" w:hAnsi="Arial" w:cs="Arial"/>
          <w:sz w:val="22"/>
          <w:szCs w:val="22"/>
        </w:rPr>
        <w:t xml:space="preserve">Exempt rural hospitals from having a cap on resident positions (and the associated PRA) set if they are only training rotators from other institutions for brief periods of time. Hospitals that sponsor residency programs have a Designated Institutional Official (DIO,) so all hospitals with a DIO would be excluded from this request. For those hospitals where there is no DIO because another organization is the sponsor of the residency, the rubric should be “no claim, no trigger.” In other words, if the hospital isn’t claiming, or hasn’t claimed, costs for the training of those residents CMS should not establish a PRA, and the cap clock should not be started. This is in keeping with the sentiment expressed in current statute that discusses the limits “with respect to a hospital’s approved medical residency training program.” (§1886 </w:t>
      </w:r>
      <w:proofErr w:type="gramStart"/>
      <w:r w:rsidRPr="00D20EFD">
        <w:rPr>
          <w:rFonts w:ascii="Arial" w:hAnsi="Arial" w:cs="Arial"/>
          <w:sz w:val="22"/>
          <w:szCs w:val="22"/>
        </w:rPr>
        <w:t>DGME(</w:t>
      </w:r>
      <w:proofErr w:type="gramEnd"/>
      <w:r w:rsidRPr="00D20EFD">
        <w:rPr>
          <w:rFonts w:ascii="Arial" w:hAnsi="Arial" w:cs="Arial"/>
          <w:sz w:val="22"/>
          <w:szCs w:val="22"/>
        </w:rPr>
        <w:t>h)(2) and (§1886 DGME(h)(2)(F)(</w:t>
      </w:r>
      <w:proofErr w:type="spellStart"/>
      <w:r w:rsidRPr="00D20EFD">
        <w:rPr>
          <w:rFonts w:ascii="Arial" w:hAnsi="Arial" w:cs="Arial"/>
          <w:sz w:val="22"/>
          <w:szCs w:val="22"/>
        </w:rPr>
        <w:t>i</w:t>
      </w:r>
      <w:proofErr w:type="spellEnd"/>
      <w:r w:rsidRPr="00D20EFD">
        <w:rPr>
          <w:rFonts w:ascii="Arial" w:hAnsi="Arial" w:cs="Arial"/>
          <w:sz w:val="22"/>
          <w:szCs w:val="22"/>
        </w:rPr>
        <w:t>). The solution should be applied both prospectively AND retroactively. We recognize that this will not affect (help) hospitals whose cap was set due to residents rotating through in 1996 due to the statutory language of the BBA, and we are working on legislation to help I those instances, but CMS can make changes to its interpretation of its own regulations to help current and future situations.</w:t>
      </w:r>
    </w:p>
    <w:p w14:paraId="135671E0" w14:textId="77777777" w:rsidR="00D20EFD" w:rsidRPr="00D20EFD" w:rsidRDefault="00D20EFD" w:rsidP="00D20EFD">
      <w:pPr>
        <w:rPr>
          <w:rFonts w:ascii="Arial" w:hAnsi="Arial" w:cs="Arial"/>
          <w:sz w:val="22"/>
          <w:szCs w:val="22"/>
        </w:rPr>
      </w:pPr>
    </w:p>
    <w:p w14:paraId="765B561E" w14:textId="77777777" w:rsidR="00D20EFD" w:rsidRPr="00D20EFD" w:rsidRDefault="00D20EFD" w:rsidP="00D20EFD">
      <w:pPr>
        <w:numPr>
          <w:ilvl w:val="0"/>
          <w:numId w:val="3"/>
        </w:numPr>
        <w:rPr>
          <w:rFonts w:ascii="Arial" w:hAnsi="Arial" w:cs="Arial"/>
          <w:b/>
          <w:sz w:val="22"/>
          <w:szCs w:val="22"/>
        </w:rPr>
      </w:pPr>
      <w:r w:rsidRPr="00D20EFD">
        <w:rPr>
          <w:rFonts w:ascii="Arial" w:hAnsi="Arial" w:cs="Arial"/>
          <w:b/>
          <w:sz w:val="22"/>
          <w:szCs w:val="22"/>
        </w:rPr>
        <w:t>Allow Urban Hospitals to Establish Rural Training Tracks</w:t>
      </w:r>
      <w:r w:rsidRPr="00D20EFD">
        <w:rPr>
          <w:rFonts w:ascii="Arial" w:hAnsi="Arial" w:cs="Arial"/>
          <w:b/>
          <w:sz w:val="22"/>
          <w:szCs w:val="22"/>
          <w:vertAlign w:val="superscript"/>
        </w:rPr>
        <w:footnoteReference w:id="3"/>
      </w:r>
      <w:r w:rsidRPr="00D20EFD">
        <w:rPr>
          <w:rFonts w:ascii="Arial" w:hAnsi="Arial" w:cs="Arial"/>
          <w:b/>
          <w:sz w:val="22"/>
          <w:szCs w:val="22"/>
        </w:rPr>
        <w:t xml:space="preserve"> Whenever and Wherever Feasible: </w:t>
      </w:r>
    </w:p>
    <w:p w14:paraId="2903C27F" w14:textId="77777777" w:rsidR="00D20EFD" w:rsidRPr="00D20EFD" w:rsidRDefault="00D20EFD" w:rsidP="00D20EFD">
      <w:pPr>
        <w:rPr>
          <w:rFonts w:ascii="Arial" w:hAnsi="Arial" w:cs="Arial"/>
          <w:sz w:val="22"/>
          <w:szCs w:val="22"/>
        </w:rPr>
      </w:pPr>
      <w:r w:rsidRPr="00D20EFD">
        <w:rPr>
          <w:rFonts w:ascii="Arial" w:hAnsi="Arial" w:cs="Arial"/>
          <w:sz w:val="22"/>
          <w:szCs w:val="22"/>
        </w:rPr>
        <w:t xml:space="preserve">The Balanced Budget Act of 1997 (BBA) established the concept that an urban hospital would be able to increase its cap on residency positions in order to accommodate residents training in rural areas as part of a rural training </w:t>
      </w:r>
      <w:r w:rsidRPr="00D20EFD">
        <w:rPr>
          <w:rFonts w:ascii="Arial" w:hAnsi="Arial" w:cs="Arial"/>
          <w:sz w:val="22"/>
          <w:szCs w:val="22"/>
        </w:rPr>
        <w:lastRenderedPageBreak/>
        <w:t xml:space="preserve">track (RTT) after the first year of training. The purpose was to allow the residents to obtain enough inpatient training at the urban hospital serving a larger and broader patient population in the first year, and then train in rural, community-based settings for the rest of the residency.  In addition, the BBA also states that </w:t>
      </w:r>
      <w:proofErr w:type="gramStart"/>
      <w:r w:rsidRPr="00D20EFD">
        <w:rPr>
          <w:rFonts w:ascii="Arial" w:hAnsi="Arial" w:cs="Arial"/>
          <w:sz w:val="22"/>
          <w:szCs w:val="22"/>
        </w:rPr>
        <w:t>Rural</w:t>
      </w:r>
      <w:proofErr w:type="gramEnd"/>
      <w:r w:rsidRPr="00D20EFD">
        <w:rPr>
          <w:rFonts w:ascii="Arial" w:hAnsi="Arial" w:cs="Arial"/>
          <w:sz w:val="22"/>
          <w:szCs w:val="22"/>
        </w:rPr>
        <w:t xml:space="preserve"> training track (RTT) residency programs are a proven model for addressing rural physician workforce shortages, with over 70% of graduates practicing in rural areas. Most RTTs still do not receive full GME funding for the rural portion of their programs.</w:t>
      </w:r>
      <w:r w:rsidRPr="00D20EFD">
        <w:rPr>
          <w:rFonts w:ascii="Arial" w:hAnsi="Arial" w:cs="Arial"/>
          <w:sz w:val="22"/>
          <w:szCs w:val="22"/>
          <w:vertAlign w:val="superscript"/>
        </w:rPr>
        <w:footnoteReference w:id="4"/>
      </w:r>
      <w:r w:rsidRPr="00D20EFD">
        <w:rPr>
          <w:rFonts w:ascii="Arial" w:hAnsi="Arial" w:cs="Arial"/>
          <w:sz w:val="22"/>
          <w:szCs w:val="22"/>
        </w:rPr>
        <w:t xml:space="preserve"> </w:t>
      </w:r>
    </w:p>
    <w:p w14:paraId="104956E2" w14:textId="77777777" w:rsidR="00D20EFD" w:rsidRPr="00D20EFD" w:rsidRDefault="00D20EFD" w:rsidP="00D20EFD">
      <w:pPr>
        <w:rPr>
          <w:rFonts w:ascii="Arial" w:hAnsi="Arial" w:cs="Arial"/>
          <w:sz w:val="22"/>
          <w:szCs w:val="22"/>
        </w:rPr>
      </w:pPr>
    </w:p>
    <w:p w14:paraId="6896E049" w14:textId="77777777" w:rsidR="00D20EFD" w:rsidRPr="00D20EFD" w:rsidRDefault="00D20EFD" w:rsidP="00D20EFD">
      <w:pPr>
        <w:rPr>
          <w:rFonts w:ascii="Arial" w:hAnsi="Arial" w:cs="Arial"/>
          <w:sz w:val="22"/>
          <w:szCs w:val="22"/>
        </w:rPr>
      </w:pPr>
      <w:r w:rsidRPr="00D20EFD">
        <w:rPr>
          <w:rFonts w:ascii="Arial" w:hAnsi="Arial" w:cs="Arial"/>
          <w:sz w:val="22"/>
          <w:szCs w:val="22"/>
        </w:rPr>
        <w:t>Unfortunately, there are two problems related to rural training tracks that need to be addressed. One problem is the inability of the urban hospital to establish an additional new training track at another rural site in the same specialty. CMS has interpreted the statute to mean that once a cap is set for the establishment of a rural training track, no new training tracks will be allowed in the same specialty, even if they are at different rural locations. It is viewed by CMS as an expansion of a current residency program, the funding for which is not allowed in statute, rather than the establishment of a new program training in a new setting for the 2</w:t>
      </w:r>
      <w:r w:rsidRPr="00D20EFD">
        <w:rPr>
          <w:rFonts w:ascii="Arial" w:hAnsi="Arial" w:cs="Arial"/>
          <w:sz w:val="22"/>
          <w:szCs w:val="22"/>
          <w:vertAlign w:val="superscript"/>
        </w:rPr>
        <w:t>nd</w:t>
      </w:r>
      <w:r w:rsidRPr="00D20EFD">
        <w:rPr>
          <w:rFonts w:ascii="Arial" w:hAnsi="Arial" w:cs="Arial"/>
          <w:sz w:val="22"/>
          <w:szCs w:val="22"/>
        </w:rPr>
        <w:t xml:space="preserve"> and 3</w:t>
      </w:r>
      <w:r w:rsidRPr="00D20EFD">
        <w:rPr>
          <w:rFonts w:ascii="Arial" w:hAnsi="Arial" w:cs="Arial"/>
          <w:sz w:val="22"/>
          <w:szCs w:val="22"/>
          <w:vertAlign w:val="superscript"/>
        </w:rPr>
        <w:t>rd</w:t>
      </w:r>
      <w:r w:rsidRPr="00D20EFD">
        <w:rPr>
          <w:rFonts w:ascii="Arial" w:hAnsi="Arial" w:cs="Arial"/>
          <w:sz w:val="22"/>
          <w:szCs w:val="22"/>
        </w:rPr>
        <w:t xml:space="preserve"> years. The second, similar, concern is that once a cap is set for a RTT, for the training in the rural setting, there is no further ability to claim additional RTT residents at the urban hospital for related to training at that site. This means a RTT at a rural site can never grow in size. While in line with limits established for all urban hospitals, we maintain that it does not make sense for Medicare to limit rural training. Rather, regulation should promote training in rural communities as a way of increasing the numbers of physicians who would practice there. This is in concordance with the statute which states that:</w:t>
      </w:r>
    </w:p>
    <w:p w14:paraId="7F273598" w14:textId="77777777" w:rsidR="00D20EFD" w:rsidRPr="00D20EFD" w:rsidRDefault="00D20EFD" w:rsidP="00D20EFD">
      <w:pPr>
        <w:rPr>
          <w:rFonts w:ascii="Arial" w:hAnsi="Arial" w:cs="Arial"/>
          <w:sz w:val="22"/>
          <w:szCs w:val="22"/>
        </w:rPr>
      </w:pPr>
    </w:p>
    <w:p w14:paraId="1E4009B2" w14:textId="77777777" w:rsidR="00D20EFD" w:rsidRPr="00D20EFD" w:rsidRDefault="00D20EFD" w:rsidP="00D20EFD">
      <w:pPr>
        <w:rPr>
          <w:rFonts w:ascii="Arial" w:hAnsi="Arial" w:cs="Arial"/>
          <w:b/>
          <w:sz w:val="22"/>
          <w:szCs w:val="22"/>
        </w:rPr>
      </w:pPr>
      <w:r w:rsidRPr="00D20EFD">
        <w:rPr>
          <w:rFonts w:ascii="Arial" w:hAnsi="Arial" w:cs="Arial"/>
          <w:sz w:val="22"/>
          <w:szCs w:val="22"/>
        </w:rPr>
        <w:t>`(</w:t>
      </w:r>
      <w:proofErr w:type="spellStart"/>
      <w:r w:rsidRPr="00D20EFD">
        <w:rPr>
          <w:rFonts w:ascii="Arial" w:hAnsi="Arial" w:cs="Arial"/>
          <w:sz w:val="22"/>
          <w:szCs w:val="22"/>
        </w:rPr>
        <w:t>i</w:t>
      </w:r>
      <w:proofErr w:type="spellEnd"/>
      <w:r w:rsidRPr="00D20EFD">
        <w:rPr>
          <w:rFonts w:ascii="Arial" w:hAnsi="Arial" w:cs="Arial"/>
          <w:sz w:val="22"/>
          <w:szCs w:val="22"/>
        </w:rPr>
        <w:t xml:space="preserve">) NEW FACILITIES- The Secretary shall, </w:t>
      </w:r>
      <w:r w:rsidRPr="00D20EFD">
        <w:rPr>
          <w:rFonts w:ascii="Arial" w:hAnsi="Arial" w:cs="Arial"/>
          <w:b/>
          <w:sz w:val="22"/>
          <w:szCs w:val="22"/>
        </w:rPr>
        <w:t>consistent with the principles</w:t>
      </w:r>
      <w:r w:rsidRPr="00D20EFD">
        <w:rPr>
          <w:rFonts w:ascii="Arial" w:hAnsi="Arial" w:cs="Arial"/>
          <w:sz w:val="22"/>
          <w:szCs w:val="22"/>
        </w:rPr>
        <w:t xml:space="preserve"> [emphasis added] of subparagraphs (F)</w:t>
      </w:r>
      <w:r w:rsidRPr="00D20EFD">
        <w:rPr>
          <w:rFonts w:ascii="Arial" w:hAnsi="Arial" w:cs="Arial"/>
          <w:sz w:val="22"/>
          <w:szCs w:val="22"/>
          <w:vertAlign w:val="superscript"/>
        </w:rPr>
        <w:footnoteReference w:id="5"/>
      </w:r>
      <w:r w:rsidRPr="00D20EFD">
        <w:rPr>
          <w:rFonts w:ascii="Arial" w:hAnsi="Arial" w:cs="Arial"/>
          <w:sz w:val="22"/>
          <w:szCs w:val="22"/>
        </w:rPr>
        <w:t xml:space="preserve"> and (G), prescribe rules for the application of such subparagraphs in the case of medical residency training programs established on or after January 1, 1995. In promulgating such rules for purposes of subparagraph (F), the Secretary </w:t>
      </w:r>
      <w:r w:rsidRPr="00D20EFD">
        <w:rPr>
          <w:rFonts w:ascii="Arial" w:hAnsi="Arial" w:cs="Arial"/>
          <w:b/>
          <w:sz w:val="22"/>
          <w:szCs w:val="22"/>
        </w:rPr>
        <w:t xml:space="preserve">shall give special consideration to facilities that meet the needs of underserved rural areas </w:t>
      </w:r>
      <w:r w:rsidRPr="00D20EFD">
        <w:rPr>
          <w:rFonts w:ascii="Arial" w:hAnsi="Arial" w:cs="Arial"/>
          <w:sz w:val="22"/>
          <w:szCs w:val="22"/>
        </w:rPr>
        <w:t>[emphasis added</w:t>
      </w:r>
      <w:r w:rsidRPr="00D20EFD">
        <w:rPr>
          <w:rFonts w:ascii="Arial" w:hAnsi="Arial" w:cs="Arial"/>
          <w:b/>
          <w:sz w:val="22"/>
          <w:szCs w:val="22"/>
        </w:rPr>
        <w:t xml:space="preserve">.] </w:t>
      </w:r>
    </w:p>
    <w:p w14:paraId="19C0C6B6" w14:textId="77777777" w:rsidR="00D20EFD" w:rsidRPr="00D20EFD" w:rsidRDefault="00D20EFD" w:rsidP="00D20EFD">
      <w:pPr>
        <w:rPr>
          <w:rFonts w:ascii="Arial" w:hAnsi="Arial" w:cs="Arial"/>
          <w:sz w:val="22"/>
          <w:szCs w:val="22"/>
        </w:rPr>
      </w:pPr>
    </w:p>
    <w:p w14:paraId="1393EDD1" w14:textId="77777777" w:rsidR="00D20EFD" w:rsidRPr="00D20EFD" w:rsidRDefault="00D20EFD" w:rsidP="00D20EFD">
      <w:pPr>
        <w:rPr>
          <w:rFonts w:ascii="Arial" w:hAnsi="Arial" w:cs="Arial"/>
          <w:sz w:val="22"/>
          <w:szCs w:val="22"/>
        </w:rPr>
      </w:pPr>
      <w:r w:rsidRPr="00D20EFD">
        <w:rPr>
          <w:rFonts w:ascii="Arial" w:hAnsi="Arial" w:cs="Arial"/>
          <w:b/>
          <w:sz w:val="22"/>
          <w:szCs w:val="22"/>
        </w:rPr>
        <w:t>Solutions needed:</w:t>
      </w:r>
      <w:r w:rsidRPr="00D20EFD">
        <w:rPr>
          <w:rFonts w:ascii="Arial" w:hAnsi="Arial" w:cs="Arial"/>
          <w:sz w:val="22"/>
          <w:szCs w:val="22"/>
        </w:rPr>
        <w:t xml:space="preserve"> 1) Revise the regulations to allow an urban hospital to expand its cap for the purposes of establishing a new RTT (training at a new site) whenever they occur and in whatever specialty they train. The limits on an urban hospital’s cap should not be limited solely to concurrent RTT startups. The establishment of a RTT in a new community should be considered a "new RTT" rather than an expansion of an existing RTT, for the purposes of cap-setting in both the urban “mother” hospital and in the rural hospital, no matter when it is established. </w:t>
      </w:r>
    </w:p>
    <w:p w14:paraId="2D171928" w14:textId="77777777" w:rsidR="00D20EFD" w:rsidRPr="00D20EFD" w:rsidRDefault="00D20EFD" w:rsidP="00D20EFD">
      <w:pPr>
        <w:rPr>
          <w:rFonts w:ascii="Arial" w:hAnsi="Arial" w:cs="Arial"/>
          <w:sz w:val="22"/>
          <w:szCs w:val="22"/>
        </w:rPr>
      </w:pPr>
    </w:p>
    <w:p w14:paraId="6A2CF024" w14:textId="77777777" w:rsidR="00D20EFD" w:rsidRPr="00D20EFD" w:rsidRDefault="00D20EFD" w:rsidP="00D20EFD">
      <w:pPr>
        <w:rPr>
          <w:rFonts w:ascii="Arial" w:hAnsi="Arial" w:cs="Arial"/>
          <w:sz w:val="22"/>
          <w:szCs w:val="22"/>
        </w:rPr>
      </w:pPr>
      <w:r w:rsidRPr="00D20EFD">
        <w:rPr>
          <w:rFonts w:ascii="Arial" w:hAnsi="Arial" w:cs="Arial"/>
          <w:sz w:val="22"/>
          <w:szCs w:val="22"/>
        </w:rPr>
        <w:t>This can be done by revising the definition of new programs established under § 413.79 (e) New medical residency training programs. All full time equivalent (FTE) residents training in a RTT should be counted and added to the urban hospital’s cap; and  2) Revise regulations to allow the cap for urban hospitals’ expansion to be set at the actual level of FTE residents who are designated to train in rural areas for PGY2 and PGY3. This effectively would eliminate the additional cap on urban hospitals associated with the additional residents training in RTTs by allowing the cap to be expanded over time so that all FTE residents training in a RTT would be counted and added to the urban hospital’s cap.</w:t>
      </w:r>
    </w:p>
    <w:p w14:paraId="59058266" w14:textId="77777777" w:rsidR="00D20EFD" w:rsidRPr="00D20EFD" w:rsidRDefault="00D20EFD" w:rsidP="00D20EFD">
      <w:pPr>
        <w:rPr>
          <w:rFonts w:ascii="Arial" w:hAnsi="Arial" w:cs="Arial"/>
          <w:sz w:val="22"/>
          <w:szCs w:val="22"/>
        </w:rPr>
      </w:pPr>
    </w:p>
    <w:p w14:paraId="43685D6B" w14:textId="77777777" w:rsidR="00D20EFD" w:rsidRPr="00D20EFD" w:rsidRDefault="00D20EFD" w:rsidP="00D20EFD">
      <w:pPr>
        <w:numPr>
          <w:ilvl w:val="0"/>
          <w:numId w:val="3"/>
        </w:numPr>
        <w:rPr>
          <w:rFonts w:ascii="Arial" w:hAnsi="Arial" w:cs="Arial"/>
          <w:b/>
          <w:sz w:val="22"/>
          <w:szCs w:val="22"/>
        </w:rPr>
      </w:pPr>
      <w:r w:rsidRPr="00D20EFD">
        <w:rPr>
          <w:rFonts w:ascii="Arial" w:hAnsi="Arial" w:cs="Arial"/>
          <w:b/>
          <w:sz w:val="22"/>
          <w:szCs w:val="22"/>
        </w:rPr>
        <w:t>CMS Should not Apply a Rolling Average During the Cap-Setting Period of RTTs:</w:t>
      </w:r>
    </w:p>
    <w:p w14:paraId="15D4ADF6" w14:textId="77777777" w:rsidR="00D20EFD" w:rsidRPr="00D20EFD" w:rsidRDefault="00D20EFD" w:rsidP="00D20EFD">
      <w:pPr>
        <w:rPr>
          <w:rFonts w:ascii="Arial" w:hAnsi="Arial" w:cs="Arial"/>
          <w:sz w:val="22"/>
          <w:szCs w:val="22"/>
        </w:rPr>
      </w:pPr>
      <w:r w:rsidRPr="00D20EFD">
        <w:rPr>
          <w:rFonts w:ascii="Arial" w:hAnsi="Arial" w:cs="Arial"/>
          <w:sz w:val="22"/>
          <w:szCs w:val="22"/>
        </w:rPr>
        <w:t xml:space="preserve">CMS implemented a new policy regarding rolling averages for RTTs during their cap-setting periods as part of their FY17 regulation which updates annually the Inpatient Prospective Payment System (IPPS) rates. The proposal stated that “due to the statutory language at sections 1886(d)(5)(B) and 1886(h)(4)(H)(iv) of the Act as implemented in our regulations at §§ 412.105(f)(1)(v)(F) and 413.79(d)(7), except for new rural track programs begun by urban teaching hospitals that are establishing an FTE cap for the first time, FTE residents in a RTT at the urban hospital are subject immediately to the 3-year rolling average for direct GME and IME.” In other words, unless the hospital is a brand new teaching hospital, the three-year rolling average will continue to apply to resident FTEs training in the rural track program, even during the five-year RTT cap-building window. We are concerned that the impact of the application of the rolling average to new RTTs is extremely detrimental to institutions’ ability to establish new RTTs. Instead, CMS should pay for the entire direct and indirect costs of RTT </w:t>
      </w:r>
      <w:r w:rsidRPr="00D20EFD">
        <w:rPr>
          <w:rFonts w:ascii="Arial" w:hAnsi="Arial" w:cs="Arial"/>
          <w:sz w:val="22"/>
          <w:szCs w:val="22"/>
        </w:rPr>
        <w:lastRenderedPageBreak/>
        <w:t>residents, including during the growth window. We believe CMS continues to take an unduly cramped reading of its statutory authority. That authority, stated above, clearly establishes “special rules” to support training of physicians in rural areas.</w:t>
      </w:r>
    </w:p>
    <w:p w14:paraId="1B2272E9" w14:textId="77777777" w:rsidR="00D20EFD" w:rsidRPr="00D20EFD" w:rsidRDefault="00D20EFD" w:rsidP="00D20EFD">
      <w:pPr>
        <w:rPr>
          <w:rFonts w:ascii="Arial" w:hAnsi="Arial" w:cs="Arial"/>
          <w:sz w:val="22"/>
          <w:szCs w:val="22"/>
        </w:rPr>
      </w:pPr>
    </w:p>
    <w:p w14:paraId="139F257F" w14:textId="77777777" w:rsidR="00D20EFD" w:rsidRPr="00D20EFD" w:rsidRDefault="00D20EFD" w:rsidP="00D20EFD">
      <w:pPr>
        <w:rPr>
          <w:rFonts w:ascii="Arial" w:hAnsi="Arial" w:cs="Arial"/>
          <w:sz w:val="22"/>
          <w:szCs w:val="22"/>
        </w:rPr>
      </w:pPr>
      <w:r w:rsidRPr="00D20EFD">
        <w:rPr>
          <w:rFonts w:ascii="Arial" w:hAnsi="Arial" w:cs="Arial"/>
          <w:sz w:val="22"/>
          <w:szCs w:val="22"/>
        </w:rPr>
        <w:t>For the purpose of providing adjustments to the limitations for hospitals establishing residency training programs in rural areas and giving special consideration for new facilities, CMS should not apply the rolling average at the inception of the RTT to help address the nation’s need of physicians for these areas. We believe that the special consideration for new facilities should apply because for greater than 50 percent of the time the programs’ residents will be situated in a new facility – a new training site – and not in the urban “mother” hospital. Basically the effect of this rule is that urban hospitals will lose one complete years’ worth of claims for RTT FTEs. That loss will be spread over 2-4 years, but will be a net loss. The hospital will have to absorb these early losses. The dollar amount of these lost resident FTE claims can be very high and likely to present an insurmountable barrier for many rural communities contemplating starting a training program. This is actually a major financing problem for the start-ups, as only getting 1/3 of the money possible for the first residents and not coming to full funding until 5 years out is another make-or-break issue for many places looking to do this where there is already not enough money available.  Assuming that 1 FTE resident claim on a cost report generates ~$150,000 in Medicare DGME and IME claims the loss with the rolling average rule will amount to $300,000 to $900,000 in various scenarios for a 2-2-2 rural training track. (</w:t>
      </w:r>
      <w:proofErr w:type="gramStart"/>
      <w:r w:rsidRPr="00D20EFD">
        <w:rPr>
          <w:rFonts w:ascii="Arial" w:hAnsi="Arial" w:cs="Arial"/>
          <w:sz w:val="22"/>
          <w:szCs w:val="22"/>
        </w:rPr>
        <w:t>personal</w:t>
      </w:r>
      <w:proofErr w:type="gramEnd"/>
      <w:r w:rsidRPr="00D20EFD">
        <w:rPr>
          <w:rFonts w:ascii="Arial" w:hAnsi="Arial" w:cs="Arial"/>
          <w:sz w:val="22"/>
          <w:szCs w:val="22"/>
        </w:rPr>
        <w:t xml:space="preserve"> communication Louis </w:t>
      </w:r>
      <w:proofErr w:type="spellStart"/>
      <w:r w:rsidRPr="00D20EFD">
        <w:rPr>
          <w:rFonts w:ascii="Arial" w:hAnsi="Arial" w:cs="Arial"/>
          <w:sz w:val="22"/>
          <w:szCs w:val="22"/>
        </w:rPr>
        <w:t>Sanner</w:t>
      </w:r>
      <w:proofErr w:type="spellEnd"/>
      <w:r w:rsidRPr="00D20EFD">
        <w:rPr>
          <w:rFonts w:ascii="Arial" w:hAnsi="Arial" w:cs="Arial"/>
          <w:sz w:val="22"/>
          <w:szCs w:val="22"/>
        </w:rPr>
        <w:t>, MD, May 4, 2016)</w:t>
      </w:r>
    </w:p>
    <w:p w14:paraId="5B6E2C3D" w14:textId="77777777" w:rsidR="00D20EFD" w:rsidRPr="00D20EFD" w:rsidRDefault="00D20EFD" w:rsidP="00D20EFD">
      <w:pPr>
        <w:rPr>
          <w:rFonts w:ascii="Arial" w:hAnsi="Arial" w:cs="Arial"/>
          <w:sz w:val="22"/>
          <w:szCs w:val="22"/>
        </w:rPr>
      </w:pPr>
    </w:p>
    <w:p w14:paraId="2CA3F55B" w14:textId="77777777" w:rsidR="00D20EFD" w:rsidRPr="00D20EFD" w:rsidRDefault="00D20EFD" w:rsidP="00D20EFD">
      <w:pPr>
        <w:rPr>
          <w:rFonts w:ascii="Arial" w:hAnsi="Arial" w:cs="Arial"/>
          <w:sz w:val="22"/>
          <w:szCs w:val="22"/>
        </w:rPr>
      </w:pPr>
      <w:r w:rsidRPr="00D20EFD">
        <w:rPr>
          <w:rFonts w:ascii="Arial" w:hAnsi="Arial" w:cs="Arial"/>
          <w:b/>
          <w:sz w:val="22"/>
          <w:szCs w:val="22"/>
        </w:rPr>
        <w:t>Solution Needed</w:t>
      </w:r>
      <w:r w:rsidRPr="00D20EFD">
        <w:rPr>
          <w:rFonts w:ascii="Arial" w:hAnsi="Arial" w:cs="Arial"/>
          <w:sz w:val="22"/>
          <w:szCs w:val="22"/>
        </w:rPr>
        <w:t xml:space="preserve">: Revise regulations so that RTTs are not subject to the rolling average of residents at the main program/hospital. Instead, they should be treated as a “new” program with full reimbursement of resident costs from the first day of training. </w:t>
      </w:r>
    </w:p>
    <w:p w14:paraId="29086BB1" w14:textId="77777777" w:rsidR="00D20EFD" w:rsidRPr="00D20EFD" w:rsidRDefault="00D20EFD" w:rsidP="00D20EFD">
      <w:pPr>
        <w:rPr>
          <w:rFonts w:ascii="Arial" w:hAnsi="Arial" w:cs="Arial"/>
          <w:sz w:val="22"/>
          <w:szCs w:val="22"/>
        </w:rPr>
      </w:pPr>
    </w:p>
    <w:p w14:paraId="431831A7" w14:textId="77777777" w:rsidR="00D20EFD" w:rsidRPr="00D20EFD" w:rsidRDefault="00D20EFD" w:rsidP="00D20EFD">
      <w:pPr>
        <w:rPr>
          <w:rFonts w:ascii="Arial" w:hAnsi="Arial" w:cs="Arial"/>
          <w:sz w:val="22"/>
          <w:szCs w:val="22"/>
        </w:rPr>
      </w:pPr>
      <w:r w:rsidRPr="00D20EFD">
        <w:rPr>
          <w:rFonts w:ascii="Arial" w:hAnsi="Arial" w:cs="Arial"/>
          <w:sz w:val="22"/>
          <w:szCs w:val="22"/>
        </w:rPr>
        <w:t xml:space="preserve">In conclusion, we appreciate the efforts of CMS to minimize the documentation and administrative burdens of physicians and other providers. In addition we are supportive of the changes included in recent CMS proposed and final rules dealing with such documentation changes, as well as rural GME training at Critical Access Hospitals. We are pleased to be able to submit under this request for information regarding additional changes that we believe CMS can make to reduce administrative burden and support patients over paperwork. </w:t>
      </w:r>
    </w:p>
    <w:p w14:paraId="1235B108" w14:textId="77777777" w:rsidR="00D20EFD" w:rsidRPr="00D20EFD" w:rsidRDefault="00D20EFD" w:rsidP="00D20EFD">
      <w:pPr>
        <w:rPr>
          <w:rFonts w:ascii="Arial" w:hAnsi="Arial" w:cs="Arial"/>
          <w:sz w:val="22"/>
          <w:szCs w:val="22"/>
        </w:rPr>
      </w:pPr>
    </w:p>
    <w:p w14:paraId="30D53FD2" w14:textId="77777777" w:rsidR="00D20EFD" w:rsidRPr="00D20EFD" w:rsidRDefault="00D20EFD" w:rsidP="00D20EFD">
      <w:pPr>
        <w:rPr>
          <w:rFonts w:ascii="Arial" w:hAnsi="Arial" w:cs="Arial"/>
          <w:sz w:val="22"/>
          <w:szCs w:val="22"/>
        </w:rPr>
      </w:pPr>
    </w:p>
    <w:p w14:paraId="7FFE32CD" w14:textId="77777777" w:rsidR="00D20EFD" w:rsidRPr="00D20EFD" w:rsidRDefault="00D20EFD" w:rsidP="00D20EFD">
      <w:pPr>
        <w:rPr>
          <w:rFonts w:ascii="Arial" w:hAnsi="Arial" w:cs="Arial"/>
          <w:sz w:val="22"/>
          <w:szCs w:val="22"/>
        </w:rPr>
      </w:pPr>
      <w:r w:rsidRPr="00D20EFD">
        <w:rPr>
          <w:rFonts w:ascii="Arial" w:hAnsi="Arial" w:cs="Arial"/>
          <w:sz w:val="22"/>
          <w:szCs w:val="22"/>
        </w:rPr>
        <w:t>Sincerely,</w:t>
      </w:r>
    </w:p>
    <w:p w14:paraId="55EFE8AB" w14:textId="77777777" w:rsidR="00D20EFD" w:rsidRPr="00D20EFD" w:rsidRDefault="00D20EFD" w:rsidP="00D20EFD"/>
    <w:p w14:paraId="1D6A2DB3" w14:textId="575E1C8E" w:rsidR="00F93999" w:rsidRDefault="00D7090E" w:rsidP="00F93999">
      <w:pPr>
        <w:rPr>
          <w:rFonts w:ascii="Helvetica" w:hAnsi="Helvetica" w:cs="Helvetica"/>
        </w:rPr>
      </w:pPr>
      <w:r>
        <w:rPr>
          <w:noProof/>
        </w:rPr>
        <mc:AlternateContent>
          <mc:Choice Requires="wps">
            <w:drawing>
              <wp:anchor distT="0" distB="0" distL="114300" distR="114300" simplePos="0" relativeHeight="251660288" behindDoc="0" locked="0" layoutInCell="1" allowOverlap="1" wp14:anchorId="25DECDD6" wp14:editId="39D6217E">
                <wp:simplePos x="0" y="0"/>
                <wp:positionH relativeFrom="column">
                  <wp:posOffset>-91440</wp:posOffset>
                </wp:positionH>
                <wp:positionV relativeFrom="paragraph">
                  <wp:posOffset>31115</wp:posOffset>
                </wp:positionV>
                <wp:extent cx="2171700" cy="1287780"/>
                <wp:effectExtent l="0" t="0" r="0" b="7620"/>
                <wp:wrapNone/>
                <wp:docPr id="12" name="Text Box 12"/>
                <wp:cNvGraphicFramePr/>
                <a:graphic xmlns:a="http://schemas.openxmlformats.org/drawingml/2006/main">
                  <a:graphicData uri="http://schemas.microsoft.com/office/word/2010/wordprocessingShape">
                    <wps:wsp>
                      <wps:cNvSpPr txBox="1"/>
                      <wps:spPr>
                        <a:xfrm>
                          <a:off x="0" y="0"/>
                          <a:ext cx="2171700" cy="1287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A13B4E" w14:textId="23EDBD16" w:rsidR="00F93999" w:rsidRDefault="00F93999" w:rsidP="00F93999">
                            <w:r>
                              <w:rPr>
                                <w:noProof/>
                                <w:sz w:val="20"/>
                                <w:szCs w:val="20"/>
                              </w:rPr>
                              <w:drawing>
                                <wp:inline distT="0" distB="0" distL="0" distR="0" wp14:anchorId="21091CC3" wp14:editId="2D36A1E6">
                                  <wp:extent cx="2026920" cy="3733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6920" cy="373380"/>
                                          </a:xfrm>
                                          <a:prstGeom prst="rect">
                                            <a:avLst/>
                                          </a:prstGeom>
                                          <a:noFill/>
                                          <a:ln>
                                            <a:noFill/>
                                          </a:ln>
                                        </pic:spPr>
                                      </pic:pic>
                                    </a:graphicData>
                                  </a:graphic>
                                </wp:inline>
                              </w:drawing>
                            </w:r>
                          </w:p>
                          <w:p w14:paraId="456D10B4" w14:textId="77777777" w:rsidR="00F93999" w:rsidRPr="00F93999" w:rsidRDefault="00F93999" w:rsidP="00F93999">
                            <w:pPr>
                              <w:rPr>
                                <w:rFonts w:ascii="Arial" w:hAnsi="Arial" w:cs="Arial"/>
                                <w:sz w:val="22"/>
                                <w:szCs w:val="22"/>
                              </w:rPr>
                            </w:pPr>
                            <w:r w:rsidRPr="00F93999">
                              <w:rPr>
                                <w:rFonts w:ascii="Arial" w:hAnsi="Arial" w:cs="Arial"/>
                                <w:sz w:val="22"/>
                                <w:szCs w:val="22"/>
                              </w:rPr>
                              <w:t>Freddy Chen, MD, MPH</w:t>
                            </w:r>
                          </w:p>
                          <w:p w14:paraId="04269C7D" w14:textId="77777777" w:rsidR="00F93999" w:rsidRPr="00F93999" w:rsidRDefault="00F93999" w:rsidP="00F93999">
                            <w:pPr>
                              <w:rPr>
                                <w:rFonts w:ascii="Arial" w:hAnsi="Arial" w:cs="Arial"/>
                                <w:sz w:val="22"/>
                                <w:szCs w:val="22"/>
                              </w:rPr>
                            </w:pPr>
                            <w:r w:rsidRPr="00F93999">
                              <w:rPr>
                                <w:rFonts w:ascii="Arial" w:hAnsi="Arial" w:cs="Arial"/>
                                <w:sz w:val="22"/>
                                <w:szCs w:val="22"/>
                              </w:rPr>
                              <w:t>President</w:t>
                            </w:r>
                          </w:p>
                          <w:p w14:paraId="584E2BBE" w14:textId="77777777" w:rsidR="00F93999" w:rsidRPr="00F93999" w:rsidRDefault="00F93999" w:rsidP="00F93999">
                            <w:pPr>
                              <w:rPr>
                                <w:rFonts w:ascii="Arial" w:hAnsi="Arial" w:cs="Arial"/>
                                <w:sz w:val="22"/>
                                <w:szCs w:val="22"/>
                              </w:rPr>
                            </w:pPr>
                            <w:r w:rsidRPr="00F93999">
                              <w:rPr>
                                <w:rFonts w:ascii="Arial" w:hAnsi="Arial" w:cs="Arial"/>
                                <w:sz w:val="22"/>
                                <w:szCs w:val="22"/>
                              </w:rPr>
                              <w:t>Society of Teachers of Family Medicine</w:t>
                            </w:r>
                          </w:p>
                          <w:p w14:paraId="49F10B0A" w14:textId="77777777" w:rsidR="00F93999" w:rsidRDefault="00F93999" w:rsidP="00F939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7.2pt;margin-top:2.45pt;width:171pt;height:10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" filled="f" stroked="f" strokeweight=".5pt">
                <v:textbox>
                  <w:txbxContent>
                    <w:p w14:paraId="75A13B4E" w14:textId="23EDBD16" w:rsidR="00F93999" w:rsidRDefault="00F93999" w:rsidP="00F93999">
                      <w:r>
                        <w:rPr>
                          <w:noProof/>
                          <w:sz w:val="20"/>
                          <w:szCs w:val="20"/>
                        </w:rPr>
                        <w:drawing>
                          <wp:inline distT="0" distB="0" distL="0" distR="0" wp14:anchorId="21091CC3" wp14:editId="2D36A1E6">
                            <wp:extent cx="2026920" cy="3733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6920" cy="373380"/>
                                    </a:xfrm>
                                    <a:prstGeom prst="rect">
                                      <a:avLst/>
                                    </a:prstGeom>
                                    <a:noFill/>
                                    <a:ln>
                                      <a:noFill/>
                                    </a:ln>
                                  </pic:spPr>
                                </pic:pic>
                              </a:graphicData>
                            </a:graphic>
                          </wp:inline>
                        </w:drawing>
                      </w:r>
                    </w:p>
                    <w:p w14:paraId="456D10B4" w14:textId="77777777" w:rsidR="00F93999" w:rsidRPr="00F93999" w:rsidRDefault="00F93999" w:rsidP="00F93999">
                      <w:pPr>
                        <w:rPr>
                          <w:rFonts w:ascii="Arial" w:hAnsi="Arial" w:cs="Arial"/>
                          <w:sz w:val="22"/>
                          <w:szCs w:val="22"/>
                        </w:rPr>
                      </w:pPr>
                      <w:r w:rsidRPr="00F93999">
                        <w:rPr>
                          <w:rFonts w:ascii="Arial" w:hAnsi="Arial" w:cs="Arial"/>
                          <w:sz w:val="22"/>
                          <w:szCs w:val="22"/>
                        </w:rPr>
                        <w:t>Freddy Chen, MD, MPH</w:t>
                      </w:r>
                    </w:p>
                    <w:p w14:paraId="04269C7D" w14:textId="77777777" w:rsidR="00F93999" w:rsidRPr="00F93999" w:rsidRDefault="00F93999" w:rsidP="00F93999">
                      <w:pPr>
                        <w:rPr>
                          <w:rFonts w:ascii="Arial" w:hAnsi="Arial" w:cs="Arial"/>
                          <w:sz w:val="22"/>
                          <w:szCs w:val="22"/>
                        </w:rPr>
                      </w:pPr>
                      <w:r w:rsidRPr="00F93999">
                        <w:rPr>
                          <w:rFonts w:ascii="Arial" w:hAnsi="Arial" w:cs="Arial"/>
                          <w:sz w:val="22"/>
                          <w:szCs w:val="22"/>
                        </w:rPr>
                        <w:t>President</w:t>
                      </w:r>
                    </w:p>
                    <w:p w14:paraId="584E2BBE" w14:textId="77777777" w:rsidR="00F93999" w:rsidRPr="00F93999" w:rsidRDefault="00F93999" w:rsidP="00F93999">
                      <w:pPr>
                        <w:rPr>
                          <w:rFonts w:ascii="Arial" w:hAnsi="Arial" w:cs="Arial"/>
                          <w:sz w:val="22"/>
                          <w:szCs w:val="22"/>
                        </w:rPr>
                      </w:pPr>
                      <w:r w:rsidRPr="00F93999">
                        <w:rPr>
                          <w:rFonts w:ascii="Arial" w:hAnsi="Arial" w:cs="Arial"/>
                          <w:sz w:val="22"/>
                          <w:szCs w:val="22"/>
                        </w:rPr>
                        <w:t>Society of Teachers of Family Medicine</w:t>
                      </w:r>
                    </w:p>
                    <w:p w14:paraId="49F10B0A" w14:textId="77777777" w:rsidR="00F93999" w:rsidRDefault="00F93999" w:rsidP="00F93999"/>
                  </w:txbxContent>
                </v:textbox>
              </v:shape>
            </w:pict>
          </mc:Fallback>
        </mc:AlternateContent>
      </w:r>
      <w:r w:rsidR="00F93999">
        <w:rPr>
          <w:noProof/>
        </w:rPr>
        <mc:AlternateContent>
          <mc:Choice Requires="wps">
            <w:drawing>
              <wp:anchor distT="0" distB="0" distL="114300" distR="114300" simplePos="0" relativeHeight="251661312" behindDoc="0" locked="0" layoutInCell="1" allowOverlap="1" wp14:anchorId="55347C8C" wp14:editId="52BD522E">
                <wp:simplePos x="0" y="0"/>
                <wp:positionH relativeFrom="column">
                  <wp:posOffset>3093720</wp:posOffset>
                </wp:positionH>
                <wp:positionV relativeFrom="paragraph">
                  <wp:posOffset>114300</wp:posOffset>
                </wp:positionV>
                <wp:extent cx="2308860" cy="11049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308860" cy="1104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8D993" w14:textId="40F8A8DE" w:rsidR="00F93999" w:rsidRDefault="00F93999" w:rsidP="00F93999">
                            <w:r>
                              <w:rPr>
                                <w:noProof/>
                                <w:sz w:val="20"/>
                                <w:szCs w:val="20"/>
                              </w:rPr>
                              <w:drawing>
                                <wp:inline distT="0" distB="0" distL="0" distR="0" wp14:anchorId="50BB6404" wp14:editId="1F0C968F">
                                  <wp:extent cx="2103120" cy="3276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3120" cy="327660"/>
                                          </a:xfrm>
                                          <a:prstGeom prst="rect">
                                            <a:avLst/>
                                          </a:prstGeom>
                                          <a:noFill/>
                                          <a:ln>
                                            <a:noFill/>
                                          </a:ln>
                                        </pic:spPr>
                                      </pic:pic>
                                    </a:graphicData>
                                  </a:graphic>
                                </wp:inline>
                              </w:drawing>
                            </w:r>
                          </w:p>
                          <w:p w14:paraId="48BFBA5D" w14:textId="77777777" w:rsidR="00F93999" w:rsidRPr="00F93999" w:rsidRDefault="00F93999" w:rsidP="00F93999">
                            <w:pPr>
                              <w:rPr>
                                <w:rFonts w:ascii="Arial" w:hAnsi="Arial" w:cs="Arial"/>
                                <w:sz w:val="22"/>
                                <w:szCs w:val="22"/>
                              </w:rPr>
                            </w:pPr>
                            <w:r w:rsidRPr="00F93999">
                              <w:rPr>
                                <w:rFonts w:ascii="Arial" w:hAnsi="Arial" w:cs="Arial"/>
                                <w:sz w:val="22"/>
                                <w:szCs w:val="22"/>
                              </w:rPr>
                              <w:t>Deborah S Clements, MD</w:t>
                            </w:r>
                          </w:p>
                          <w:p w14:paraId="7E5D5314" w14:textId="77777777" w:rsidR="00F93999" w:rsidRPr="00F93999" w:rsidRDefault="00F93999" w:rsidP="00F93999">
                            <w:pPr>
                              <w:rPr>
                                <w:rFonts w:ascii="Arial" w:hAnsi="Arial" w:cs="Arial"/>
                                <w:sz w:val="22"/>
                                <w:szCs w:val="22"/>
                              </w:rPr>
                            </w:pPr>
                            <w:r w:rsidRPr="00F93999">
                              <w:rPr>
                                <w:rFonts w:ascii="Arial" w:hAnsi="Arial" w:cs="Arial"/>
                                <w:sz w:val="22"/>
                                <w:szCs w:val="22"/>
                              </w:rPr>
                              <w:t>President</w:t>
                            </w:r>
                          </w:p>
                          <w:p w14:paraId="5D49298A" w14:textId="77777777" w:rsidR="00F93999" w:rsidRPr="00F93999" w:rsidRDefault="00F93999" w:rsidP="00F93999">
                            <w:pPr>
                              <w:rPr>
                                <w:rFonts w:ascii="Arial" w:hAnsi="Arial" w:cs="Arial"/>
                                <w:sz w:val="22"/>
                                <w:szCs w:val="22"/>
                              </w:rPr>
                            </w:pPr>
                            <w:r w:rsidRPr="00F93999">
                              <w:rPr>
                                <w:rFonts w:ascii="Arial" w:hAnsi="Arial" w:cs="Arial"/>
                                <w:sz w:val="22"/>
                                <w:szCs w:val="22"/>
                              </w:rPr>
                              <w:t>Association of Family Medicine Residency Directors</w:t>
                            </w:r>
                          </w:p>
                          <w:p w14:paraId="5ACB75F6" w14:textId="77777777" w:rsidR="00F93999" w:rsidRDefault="00F93999" w:rsidP="00F939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7" type="#_x0000_t202" style="position:absolute;margin-left:243.6pt;margin-top:9pt;width:181.8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" filled="f" stroked="f" strokeweight=".5pt">
                <v:textbox>
                  <w:txbxContent>
                    <w:p w14:paraId="3FF8D993" w14:textId="40F8A8DE" w:rsidR="00F93999" w:rsidRDefault="00F93999" w:rsidP="00F93999">
                      <w:r>
                        <w:rPr>
                          <w:noProof/>
                          <w:sz w:val="20"/>
                          <w:szCs w:val="20"/>
                        </w:rPr>
                        <w:drawing>
                          <wp:inline distT="0" distB="0" distL="0" distR="0" wp14:anchorId="50BB6404" wp14:editId="1F0C968F">
                            <wp:extent cx="2103120" cy="3276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3120" cy="327660"/>
                                    </a:xfrm>
                                    <a:prstGeom prst="rect">
                                      <a:avLst/>
                                    </a:prstGeom>
                                    <a:noFill/>
                                    <a:ln>
                                      <a:noFill/>
                                    </a:ln>
                                  </pic:spPr>
                                </pic:pic>
                              </a:graphicData>
                            </a:graphic>
                          </wp:inline>
                        </w:drawing>
                      </w:r>
                    </w:p>
                    <w:p w14:paraId="48BFBA5D" w14:textId="77777777" w:rsidR="00F93999" w:rsidRPr="00F93999" w:rsidRDefault="00F93999" w:rsidP="00F93999">
                      <w:pPr>
                        <w:rPr>
                          <w:rFonts w:ascii="Arial" w:hAnsi="Arial" w:cs="Arial"/>
                          <w:sz w:val="22"/>
                          <w:szCs w:val="22"/>
                        </w:rPr>
                      </w:pPr>
                      <w:r w:rsidRPr="00F93999">
                        <w:rPr>
                          <w:rFonts w:ascii="Arial" w:hAnsi="Arial" w:cs="Arial"/>
                          <w:sz w:val="22"/>
                          <w:szCs w:val="22"/>
                        </w:rPr>
                        <w:t>Deborah S Clements, MD</w:t>
                      </w:r>
                    </w:p>
                    <w:p w14:paraId="7E5D5314" w14:textId="77777777" w:rsidR="00F93999" w:rsidRPr="00F93999" w:rsidRDefault="00F93999" w:rsidP="00F93999">
                      <w:pPr>
                        <w:rPr>
                          <w:rFonts w:ascii="Arial" w:hAnsi="Arial" w:cs="Arial"/>
                          <w:sz w:val="22"/>
                          <w:szCs w:val="22"/>
                        </w:rPr>
                      </w:pPr>
                      <w:r w:rsidRPr="00F93999">
                        <w:rPr>
                          <w:rFonts w:ascii="Arial" w:hAnsi="Arial" w:cs="Arial"/>
                          <w:sz w:val="22"/>
                          <w:szCs w:val="22"/>
                        </w:rPr>
                        <w:t>President</w:t>
                      </w:r>
                    </w:p>
                    <w:p w14:paraId="5D49298A" w14:textId="77777777" w:rsidR="00F93999" w:rsidRPr="00F93999" w:rsidRDefault="00F93999" w:rsidP="00F93999">
                      <w:pPr>
                        <w:rPr>
                          <w:rFonts w:ascii="Arial" w:hAnsi="Arial" w:cs="Arial"/>
                          <w:sz w:val="22"/>
                          <w:szCs w:val="22"/>
                        </w:rPr>
                      </w:pPr>
                      <w:r w:rsidRPr="00F93999">
                        <w:rPr>
                          <w:rFonts w:ascii="Arial" w:hAnsi="Arial" w:cs="Arial"/>
                          <w:sz w:val="22"/>
                          <w:szCs w:val="22"/>
                        </w:rPr>
                        <w:t>Association of Family Medicine Residency Directors</w:t>
                      </w:r>
                    </w:p>
                    <w:p w14:paraId="5ACB75F6" w14:textId="77777777" w:rsidR="00F93999" w:rsidRDefault="00F93999" w:rsidP="00F93999"/>
                  </w:txbxContent>
                </v:textbox>
              </v:shape>
            </w:pict>
          </mc:Fallback>
        </mc:AlternateContent>
      </w:r>
      <w:r w:rsidR="00F93999">
        <w:rPr>
          <w:noProof/>
        </w:rPr>
        <mc:AlternateContent>
          <mc:Choice Requires="wps">
            <w:drawing>
              <wp:anchor distT="0" distB="0" distL="114300" distR="114300" simplePos="0" relativeHeight="251663360" behindDoc="0" locked="0" layoutInCell="1" allowOverlap="1" wp14:anchorId="599AE20C" wp14:editId="457D70EF">
                <wp:simplePos x="0" y="0"/>
                <wp:positionH relativeFrom="column">
                  <wp:posOffset>3299460</wp:posOffset>
                </wp:positionH>
                <wp:positionV relativeFrom="paragraph">
                  <wp:posOffset>1325245</wp:posOffset>
                </wp:positionV>
                <wp:extent cx="2278380" cy="116586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278380" cy="1165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C99442" w14:textId="33B980D8" w:rsidR="00F93999" w:rsidRDefault="00F93999" w:rsidP="00F93999">
                            <w:r>
                              <w:rPr>
                                <w:noProof/>
                                <w:sz w:val="20"/>
                                <w:szCs w:val="20"/>
                              </w:rPr>
                              <w:drawing>
                                <wp:inline distT="0" distB="0" distL="0" distR="0" wp14:anchorId="4A794E9C" wp14:editId="3789922C">
                                  <wp:extent cx="2026920" cy="4267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4">
                                            <a:extLst>
                                              <a:ext uri="{28A0092B-C50C-407E-A947-70E740481C1C}">
                                                <a14:useLocalDpi xmlns:a14="http://schemas.microsoft.com/office/drawing/2010/main" val="0"/>
                                              </a:ext>
                                            </a:extLst>
                                          </a:blip>
                                          <a:srcRect l="3809" t="15044"/>
                                          <a:stretch>
                                            <a:fillRect/>
                                          </a:stretch>
                                        </pic:blipFill>
                                        <pic:spPr bwMode="auto">
                                          <a:xfrm>
                                            <a:off x="0" y="0"/>
                                            <a:ext cx="2026920" cy="426720"/>
                                          </a:xfrm>
                                          <a:prstGeom prst="rect">
                                            <a:avLst/>
                                          </a:prstGeom>
                                          <a:noFill/>
                                          <a:ln>
                                            <a:noFill/>
                                          </a:ln>
                                        </pic:spPr>
                                      </pic:pic>
                                    </a:graphicData>
                                  </a:graphic>
                                </wp:inline>
                              </w:drawing>
                            </w:r>
                          </w:p>
                          <w:p w14:paraId="12497CCC" w14:textId="77777777" w:rsidR="00F93999" w:rsidRPr="00F93999" w:rsidRDefault="00F93999" w:rsidP="00F93999">
                            <w:pPr>
                              <w:rPr>
                                <w:rFonts w:ascii="Arial" w:hAnsi="Arial" w:cs="Arial"/>
                                <w:sz w:val="22"/>
                                <w:szCs w:val="22"/>
                              </w:rPr>
                            </w:pPr>
                            <w:r w:rsidRPr="00F93999">
                              <w:rPr>
                                <w:rFonts w:ascii="Arial" w:hAnsi="Arial" w:cs="Arial"/>
                                <w:sz w:val="22"/>
                                <w:szCs w:val="22"/>
                              </w:rPr>
                              <w:t>Judith Belle Brown, PhD</w:t>
                            </w:r>
                          </w:p>
                          <w:p w14:paraId="28456944" w14:textId="77777777" w:rsidR="00F93999" w:rsidRPr="00F93999" w:rsidRDefault="00F93999" w:rsidP="00F93999">
                            <w:pPr>
                              <w:rPr>
                                <w:rFonts w:ascii="Arial" w:hAnsi="Arial" w:cs="Arial"/>
                                <w:sz w:val="22"/>
                                <w:szCs w:val="22"/>
                              </w:rPr>
                            </w:pPr>
                            <w:r w:rsidRPr="00F93999">
                              <w:rPr>
                                <w:rFonts w:ascii="Arial" w:hAnsi="Arial" w:cs="Arial"/>
                                <w:sz w:val="22"/>
                                <w:szCs w:val="22"/>
                              </w:rPr>
                              <w:t>President</w:t>
                            </w:r>
                          </w:p>
                          <w:p w14:paraId="09E4104D" w14:textId="77777777" w:rsidR="00F93999" w:rsidRPr="00F93999" w:rsidRDefault="00F93999" w:rsidP="00F93999">
                            <w:pPr>
                              <w:rPr>
                                <w:rFonts w:ascii="Arial" w:hAnsi="Arial" w:cs="Arial"/>
                                <w:sz w:val="22"/>
                                <w:szCs w:val="22"/>
                              </w:rPr>
                            </w:pPr>
                            <w:r w:rsidRPr="00F93999">
                              <w:rPr>
                                <w:rFonts w:ascii="Arial" w:hAnsi="Arial" w:cs="Arial"/>
                                <w:sz w:val="22"/>
                                <w:szCs w:val="22"/>
                              </w:rPr>
                              <w:t>North American Primary Care Research Group</w:t>
                            </w:r>
                          </w:p>
                          <w:p w14:paraId="0D520F1A" w14:textId="77777777" w:rsidR="00F93999" w:rsidRDefault="00F93999" w:rsidP="00F93999"/>
                          <w:p w14:paraId="201A039B" w14:textId="77777777" w:rsidR="00F93999" w:rsidRDefault="00F93999" w:rsidP="00F939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margin-left:259.8pt;margin-top:104.35pt;width:179.4pt;height:9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" filled="f" stroked="f" strokeweight=".5pt">
                <v:textbox>
                  <w:txbxContent>
                    <w:p w14:paraId="2AC99442" w14:textId="33B980D8" w:rsidR="00F93999" w:rsidRDefault="00F93999" w:rsidP="00F93999">
                      <w:r>
                        <w:rPr>
                          <w:noProof/>
                          <w:sz w:val="20"/>
                          <w:szCs w:val="20"/>
                        </w:rPr>
                        <w:drawing>
                          <wp:inline distT="0" distB="0" distL="0" distR="0" wp14:anchorId="4A794E9C" wp14:editId="3789922C">
                            <wp:extent cx="2026920" cy="4267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4">
                                      <a:extLst>
                                        <a:ext uri="{28A0092B-C50C-407E-A947-70E740481C1C}">
                                          <a14:useLocalDpi xmlns:a14="http://schemas.microsoft.com/office/drawing/2010/main" val="0"/>
                                        </a:ext>
                                      </a:extLst>
                                    </a:blip>
                                    <a:srcRect l="3809" t="15044"/>
                                    <a:stretch>
                                      <a:fillRect/>
                                    </a:stretch>
                                  </pic:blipFill>
                                  <pic:spPr bwMode="auto">
                                    <a:xfrm>
                                      <a:off x="0" y="0"/>
                                      <a:ext cx="2026920" cy="426720"/>
                                    </a:xfrm>
                                    <a:prstGeom prst="rect">
                                      <a:avLst/>
                                    </a:prstGeom>
                                    <a:noFill/>
                                    <a:ln>
                                      <a:noFill/>
                                    </a:ln>
                                  </pic:spPr>
                                </pic:pic>
                              </a:graphicData>
                            </a:graphic>
                          </wp:inline>
                        </w:drawing>
                      </w:r>
                    </w:p>
                    <w:p w14:paraId="12497CCC" w14:textId="77777777" w:rsidR="00F93999" w:rsidRPr="00F93999" w:rsidRDefault="00F93999" w:rsidP="00F93999">
                      <w:pPr>
                        <w:rPr>
                          <w:rFonts w:ascii="Arial" w:hAnsi="Arial" w:cs="Arial"/>
                          <w:sz w:val="22"/>
                          <w:szCs w:val="22"/>
                        </w:rPr>
                      </w:pPr>
                      <w:r w:rsidRPr="00F93999">
                        <w:rPr>
                          <w:rFonts w:ascii="Arial" w:hAnsi="Arial" w:cs="Arial"/>
                          <w:sz w:val="22"/>
                          <w:szCs w:val="22"/>
                        </w:rPr>
                        <w:t>Judith Belle Brown, PhD</w:t>
                      </w:r>
                    </w:p>
                    <w:p w14:paraId="28456944" w14:textId="77777777" w:rsidR="00F93999" w:rsidRPr="00F93999" w:rsidRDefault="00F93999" w:rsidP="00F93999">
                      <w:pPr>
                        <w:rPr>
                          <w:rFonts w:ascii="Arial" w:hAnsi="Arial" w:cs="Arial"/>
                          <w:sz w:val="22"/>
                          <w:szCs w:val="22"/>
                        </w:rPr>
                      </w:pPr>
                      <w:r w:rsidRPr="00F93999">
                        <w:rPr>
                          <w:rFonts w:ascii="Arial" w:hAnsi="Arial" w:cs="Arial"/>
                          <w:sz w:val="22"/>
                          <w:szCs w:val="22"/>
                        </w:rPr>
                        <w:t>President</w:t>
                      </w:r>
                    </w:p>
                    <w:p w14:paraId="09E4104D" w14:textId="77777777" w:rsidR="00F93999" w:rsidRPr="00F93999" w:rsidRDefault="00F93999" w:rsidP="00F93999">
                      <w:pPr>
                        <w:rPr>
                          <w:rFonts w:ascii="Arial" w:hAnsi="Arial" w:cs="Arial"/>
                          <w:sz w:val="22"/>
                          <w:szCs w:val="22"/>
                        </w:rPr>
                      </w:pPr>
                      <w:r w:rsidRPr="00F93999">
                        <w:rPr>
                          <w:rFonts w:ascii="Arial" w:hAnsi="Arial" w:cs="Arial"/>
                          <w:sz w:val="22"/>
                          <w:szCs w:val="22"/>
                        </w:rPr>
                        <w:t>North American Primary Care Research Group</w:t>
                      </w:r>
                    </w:p>
                    <w:p w14:paraId="0D520F1A" w14:textId="77777777" w:rsidR="00F93999" w:rsidRDefault="00F93999" w:rsidP="00F93999"/>
                    <w:p w14:paraId="201A039B" w14:textId="77777777" w:rsidR="00F93999" w:rsidRDefault="00F93999" w:rsidP="00F93999"/>
                  </w:txbxContent>
                </v:textbox>
              </v:shape>
            </w:pict>
          </mc:Fallback>
        </mc:AlternateContent>
      </w:r>
    </w:p>
    <w:p w14:paraId="0D67F47D" w14:textId="77777777" w:rsidR="00F93999" w:rsidRDefault="00F93999" w:rsidP="00F93999">
      <w:pPr>
        <w:rPr>
          <w:rFonts w:ascii="Arial" w:hAnsi="Arial"/>
        </w:rPr>
      </w:pPr>
    </w:p>
    <w:p w14:paraId="6FBDCE3F" w14:textId="507A5B70" w:rsidR="00D20EFD" w:rsidRPr="00D20EFD" w:rsidRDefault="00D7090E" w:rsidP="00D20EFD">
      <w:r>
        <w:rPr>
          <w:noProof/>
        </w:rPr>
        <mc:AlternateContent>
          <mc:Choice Requires="wps">
            <w:drawing>
              <wp:anchor distT="0" distB="0" distL="114300" distR="114300" simplePos="0" relativeHeight="251662336" behindDoc="0" locked="0" layoutInCell="1" allowOverlap="1" wp14:anchorId="6F8B5EA9" wp14:editId="32B8C5EC">
                <wp:simplePos x="0" y="0"/>
                <wp:positionH relativeFrom="column">
                  <wp:posOffset>-22860</wp:posOffset>
                </wp:positionH>
                <wp:positionV relativeFrom="paragraph">
                  <wp:posOffset>974725</wp:posOffset>
                </wp:positionV>
                <wp:extent cx="2240280" cy="12573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240280" cy="1257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E097A8" w14:textId="692FC93B" w:rsidR="00F93999" w:rsidRDefault="00F93999" w:rsidP="00F93999">
                            <w:r>
                              <w:rPr>
                                <w:noProof/>
                                <w:sz w:val="20"/>
                                <w:szCs w:val="20"/>
                              </w:rPr>
                              <w:drawing>
                                <wp:inline distT="0" distB="0" distL="0" distR="0" wp14:anchorId="3F415181" wp14:editId="659A3D55">
                                  <wp:extent cx="1874520" cy="5029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4520" cy="502920"/>
                                          </a:xfrm>
                                          <a:prstGeom prst="rect">
                                            <a:avLst/>
                                          </a:prstGeom>
                                          <a:noFill/>
                                          <a:ln>
                                            <a:noFill/>
                                          </a:ln>
                                        </pic:spPr>
                                      </pic:pic>
                                    </a:graphicData>
                                  </a:graphic>
                                </wp:inline>
                              </w:drawing>
                            </w:r>
                          </w:p>
                          <w:p w14:paraId="0E26E10D" w14:textId="77777777" w:rsidR="00F93999" w:rsidRPr="00F93999" w:rsidRDefault="00F93999" w:rsidP="00F93999">
                            <w:pPr>
                              <w:rPr>
                                <w:rFonts w:ascii="Arial" w:hAnsi="Arial" w:cs="Arial"/>
                                <w:sz w:val="22"/>
                                <w:szCs w:val="22"/>
                              </w:rPr>
                            </w:pPr>
                            <w:r w:rsidRPr="00F93999">
                              <w:rPr>
                                <w:rFonts w:ascii="Arial" w:hAnsi="Arial" w:cs="Arial"/>
                                <w:sz w:val="22"/>
                                <w:szCs w:val="22"/>
                              </w:rPr>
                              <w:t>Allen Perkins, MD, MPH</w:t>
                            </w:r>
                          </w:p>
                          <w:p w14:paraId="04945B1C" w14:textId="77777777" w:rsidR="00F93999" w:rsidRPr="00F93999" w:rsidRDefault="00F93999" w:rsidP="00F93999">
                            <w:pPr>
                              <w:rPr>
                                <w:rFonts w:ascii="Arial" w:hAnsi="Arial" w:cs="Arial"/>
                                <w:sz w:val="22"/>
                                <w:szCs w:val="22"/>
                              </w:rPr>
                            </w:pPr>
                            <w:r w:rsidRPr="00F93999">
                              <w:rPr>
                                <w:rFonts w:ascii="Arial" w:hAnsi="Arial" w:cs="Arial"/>
                                <w:sz w:val="22"/>
                                <w:szCs w:val="22"/>
                              </w:rPr>
                              <w:t>P</w:t>
                            </w:r>
                            <w:bookmarkStart w:id="0" w:name="_GoBack"/>
                            <w:bookmarkEnd w:id="0"/>
                            <w:r w:rsidRPr="00F93999">
                              <w:rPr>
                                <w:rFonts w:ascii="Arial" w:hAnsi="Arial" w:cs="Arial"/>
                                <w:sz w:val="22"/>
                                <w:szCs w:val="22"/>
                              </w:rPr>
                              <w:t>resident</w:t>
                            </w:r>
                          </w:p>
                          <w:p w14:paraId="4A77FB2B" w14:textId="77777777" w:rsidR="00F93999" w:rsidRPr="00F93999" w:rsidRDefault="00F93999" w:rsidP="00F93999">
                            <w:pPr>
                              <w:rPr>
                                <w:rFonts w:ascii="Arial" w:hAnsi="Arial" w:cs="Arial"/>
                                <w:sz w:val="22"/>
                                <w:szCs w:val="22"/>
                              </w:rPr>
                            </w:pPr>
                            <w:r w:rsidRPr="00F93999">
                              <w:rPr>
                                <w:rFonts w:ascii="Arial" w:hAnsi="Arial" w:cs="Arial"/>
                                <w:sz w:val="22"/>
                                <w:szCs w:val="22"/>
                              </w:rPr>
                              <w:t>Association of Departments of Family Medicine</w:t>
                            </w:r>
                          </w:p>
                          <w:p w14:paraId="77EB6AB9" w14:textId="77777777" w:rsidR="00F93999" w:rsidRDefault="00F93999" w:rsidP="00F939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margin-left:-1.8pt;margin-top:76.75pt;width:176.4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" filled="f" stroked="f" strokeweight=".5pt">
                <v:textbox>
                  <w:txbxContent>
                    <w:p w14:paraId="47E097A8" w14:textId="692FC93B" w:rsidR="00F93999" w:rsidRDefault="00F93999" w:rsidP="00F93999">
                      <w:r>
                        <w:rPr>
                          <w:noProof/>
                          <w:sz w:val="20"/>
                          <w:szCs w:val="20"/>
                        </w:rPr>
                        <w:drawing>
                          <wp:inline distT="0" distB="0" distL="0" distR="0" wp14:anchorId="3F415181" wp14:editId="659A3D55">
                            <wp:extent cx="1874520" cy="5029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4520" cy="502920"/>
                                    </a:xfrm>
                                    <a:prstGeom prst="rect">
                                      <a:avLst/>
                                    </a:prstGeom>
                                    <a:noFill/>
                                    <a:ln>
                                      <a:noFill/>
                                    </a:ln>
                                  </pic:spPr>
                                </pic:pic>
                              </a:graphicData>
                            </a:graphic>
                          </wp:inline>
                        </w:drawing>
                      </w:r>
                    </w:p>
                    <w:p w14:paraId="0E26E10D" w14:textId="77777777" w:rsidR="00F93999" w:rsidRPr="00F93999" w:rsidRDefault="00F93999" w:rsidP="00F93999">
                      <w:pPr>
                        <w:rPr>
                          <w:rFonts w:ascii="Arial" w:hAnsi="Arial" w:cs="Arial"/>
                          <w:sz w:val="22"/>
                          <w:szCs w:val="22"/>
                        </w:rPr>
                      </w:pPr>
                      <w:r w:rsidRPr="00F93999">
                        <w:rPr>
                          <w:rFonts w:ascii="Arial" w:hAnsi="Arial" w:cs="Arial"/>
                          <w:sz w:val="22"/>
                          <w:szCs w:val="22"/>
                        </w:rPr>
                        <w:t>Allen Perkins, MD, MPH</w:t>
                      </w:r>
                    </w:p>
                    <w:p w14:paraId="04945B1C" w14:textId="77777777" w:rsidR="00F93999" w:rsidRPr="00F93999" w:rsidRDefault="00F93999" w:rsidP="00F93999">
                      <w:pPr>
                        <w:rPr>
                          <w:rFonts w:ascii="Arial" w:hAnsi="Arial" w:cs="Arial"/>
                          <w:sz w:val="22"/>
                          <w:szCs w:val="22"/>
                        </w:rPr>
                      </w:pPr>
                      <w:r w:rsidRPr="00F93999">
                        <w:rPr>
                          <w:rFonts w:ascii="Arial" w:hAnsi="Arial" w:cs="Arial"/>
                          <w:sz w:val="22"/>
                          <w:szCs w:val="22"/>
                        </w:rPr>
                        <w:t>P</w:t>
                      </w:r>
                      <w:bookmarkStart w:id="1" w:name="_GoBack"/>
                      <w:bookmarkEnd w:id="1"/>
                      <w:r w:rsidRPr="00F93999">
                        <w:rPr>
                          <w:rFonts w:ascii="Arial" w:hAnsi="Arial" w:cs="Arial"/>
                          <w:sz w:val="22"/>
                          <w:szCs w:val="22"/>
                        </w:rPr>
                        <w:t>resident</w:t>
                      </w:r>
                    </w:p>
                    <w:p w14:paraId="4A77FB2B" w14:textId="77777777" w:rsidR="00F93999" w:rsidRPr="00F93999" w:rsidRDefault="00F93999" w:rsidP="00F93999">
                      <w:pPr>
                        <w:rPr>
                          <w:rFonts w:ascii="Arial" w:hAnsi="Arial" w:cs="Arial"/>
                          <w:sz w:val="22"/>
                          <w:szCs w:val="22"/>
                        </w:rPr>
                      </w:pPr>
                      <w:r w:rsidRPr="00F93999">
                        <w:rPr>
                          <w:rFonts w:ascii="Arial" w:hAnsi="Arial" w:cs="Arial"/>
                          <w:sz w:val="22"/>
                          <w:szCs w:val="22"/>
                        </w:rPr>
                        <w:t>Association of Departments of Family Medicine</w:t>
                      </w:r>
                    </w:p>
                    <w:p w14:paraId="77EB6AB9" w14:textId="77777777" w:rsidR="00F93999" w:rsidRDefault="00F93999" w:rsidP="00F93999"/>
                  </w:txbxContent>
                </v:textbox>
              </v:shape>
            </w:pict>
          </mc:Fallback>
        </mc:AlternateContent>
      </w:r>
      <w:r w:rsidR="00D20EFD" w:rsidRPr="00D20EFD">
        <w:br w:type="page"/>
      </w:r>
    </w:p>
    <w:p w14:paraId="2590129A" w14:textId="77777777" w:rsidR="00B05ED0" w:rsidRDefault="00B05ED0" w:rsidP="00F93999">
      <w:pPr>
        <w:jc w:val="center"/>
        <w:rPr>
          <w:rFonts w:ascii="Arial" w:hAnsi="Arial" w:cs="Arial"/>
          <w:sz w:val="22"/>
          <w:szCs w:val="22"/>
          <w:lang w:bidi="en-US"/>
        </w:rPr>
      </w:pPr>
    </w:p>
    <w:p w14:paraId="232673AA" w14:textId="77777777" w:rsidR="00B05ED0" w:rsidRDefault="00B05ED0" w:rsidP="00F93999">
      <w:pPr>
        <w:jc w:val="center"/>
        <w:rPr>
          <w:rFonts w:ascii="Arial" w:hAnsi="Arial" w:cs="Arial"/>
          <w:sz w:val="22"/>
          <w:szCs w:val="22"/>
          <w:lang w:bidi="en-US"/>
        </w:rPr>
      </w:pPr>
    </w:p>
    <w:p w14:paraId="5F9E36D4" w14:textId="0D98F61B" w:rsidR="00D20EFD" w:rsidRDefault="00D20EFD" w:rsidP="00F93999">
      <w:pPr>
        <w:jc w:val="center"/>
        <w:rPr>
          <w:rFonts w:ascii="Arial" w:hAnsi="Arial" w:cs="Arial"/>
          <w:sz w:val="22"/>
          <w:szCs w:val="22"/>
          <w:lang w:bidi="en-US"/>
        </w:rPr>
      </w:pPr>
      <w:r w:rsidRPr="00F93999">
        <w:rPr>
          <w:rFonts w:ascii="Arial" w:hAnsi="Arial" w:cs="Arial"/>
          <w:sz w:val="22"/>
          <w:szCs w:val="22"/>
          <w:lang w:bidi="en-US"/>
        </w:rPr>
        <w:t xml:space="preserve">Scenarios taken from </w:t>
      </w:r>
      <w:hyperlink r:id="rId16" w:history="1">
        <w:r w:rsidRPr="00F93999">
          <w:rPr>
            <w:rStyle w:val="Hyperlink"/>
            <w:rFonts w:ascii="Arial" w:hAnsi="Arial" w:cs="Arial"/>
            <w:sz w:val="22"/>
            <w:szCs w:val="22"/>
            <w:lang w:bidi="en-US"/>
          </w:rPr>
          <w:t>https://www.cms.gov/Regulations-and-</w:t>
        </w:r>
      </w:hyperlink>
      <w:hyperlink r:id="rId17" w:history="1">
        <w:r w:rsidRPr="00F93999">
          <w:rPr>
            <w:rStyle w:val="Hyperlink"/>
            <w:rFonts w:ascii="Arial" w:hAnsi="Arial" w:cs="Arial"/>
            <w:sz w:val="22"/>
            <w:szCs w:val="22"/>
            <w:lang w:bidi="en-US"/>
          </w:rPr>
          <w:t xml:space="preserve">Guidance/Guidance/Transmittals/2018Downloads/R4068CP.pdf </w:t>
        </w:r>
      </w:hyperlink>
      <w:r w:rsidRPr="00F93999">
        <w:rPr>
          <w:rFonts w:ascii="Arial" w:hAnsi="Arial" w:cs="Arial"/>
          <w:sz w:val="22"/>
          <w:szCs w:val="22"/>
          <w:lang w:bidi="en-US"/>
        </w:rPr>
        <w:t xml:space="preserve">but edited for inclusion of students and/or </w:t>
      </w:r>
      <w:proofErr w:type="gramStart"/>
      <w:r w:rsidRPr="00F93999">
        <w:rPr>
          <w:rFonts w:ascii="Arial" w:hAnsi="Arial" w:cs="Arial"/>
          <w:sz w:val="22"/>
          <w:szCs w:val="22"/>
          <w:lang w:bidi="en-US"/>
        </w:rPr>
        <w:t>students</w:t>
      </w:r>
      <w:proofErr w:type="gramEnd"/>
      <w:r w:rsidRPr="00F93999">
        <w:rPr>
          <w:rFonts w:ascii="Arial" w:hAnsi="Arial" w:cs="Arial"/>
          <w:sz w:val="22"/>
          <w:szCs w:val="22"/>
          <w:lang w:bidi="en-US"/>
        </w:rPr>
        <w:t xml:space="preserve"> and residents </w:t>
      </w:r>
      <w:r w:rsidR="00B05ED0">
        <w:rPr>
          <w:rFonts w:ascii="Arial" w:hAnsi="Arial" w:cs="Arial"/>
          <w:sz w:val="22"/>
          <w:szCs w:val="22"/>
          <w:lang w:bidi="en-US"/>
        </w:rPr>
        <w:t xml:space="preserve">in </w:t>
      </w:r>
      <w:r w:rsidRPr="00F93999">
        <w:rPr>
          <w:rFonts w:ascii="Arial" w:hAnsi="Arial" w:cs="Arial"/>
          <w:sz w:val="22"/>
          <w:szCs w:val="22"/>
          <w:lang w:bidi="en-US"/>
        </w:rPr>
        <w:t>the changes in Transmittal R4283CP, dated August 26, 2019.</w:t>
      </w:r>
    </w:p>
    <w:p w14:paraId="63BAC9B7" w14:textId="77777777" w:rsidR="00F93999" w:rsidRPr="00F93999" w:rsidRDefault="00F93999" w:rsidP="00F93999">
      <w:pPr>
        <w:jc w:val="center"/>
        <w:rPr>
          <w:rFonts w:ascii="Arial" w:hAnsi="Arial" w:cs="Arial"/>
          <w:sz w:val="22"/>
          <w:szCs w:val="22"/>
          <w:lang w:bidi="en-US"/>
        </w:rPr>
      </w:pPr>
    </w:p>
    <w:p w14:paraId="2F8A9176" w14:textId="77777777" w:rsidR="00F93999" w:rsidRPr="00F93999" w:rsidRDefault="00F93999" w:rsidP="00D20EFD">
      <w:pPr>
        <w:rPr>
          <w:rFonts w:ascii="Arial" w:hAnsi="Arial" w:cs="Arial"/>
          <w:sz w:val="22"/>
          <w:szCs w:val="22"/>
          <w:lang w:bidi="en-US"/>
        </w:rPr>
      </w:pPr>
    </w:p>
    <w:p w14:paraId="53AA4B17" w14:textId="77777777" w:rsidR="00D20EFD" w:rsidRDefault="00D20EFD" w:rsidP="00D20EFD">
      <w:pPr>
        <w:rPr>
          <w:rFonts w:ascii="Arial" w:hAnsi="Arial" w:cs="Arial"/>
          <w:sz w:val="22"/>
          <w:szCs w:val="22"/>
          <w:lang w:bidi="en-US"/>
        </w:rPr>
      </w:pPr>
      <w:r w:rsidRPr="00F93999">
        <w:rPr>
          <w:rFonts w:ascii="Arial" w:hAnsi="Arial" w:cs="Arial"/>
          <w:b/>
          <w:sz w:val="22"/>
          <w:szCs w:val="22"/>
          <w:lang w:bidi="en-US"/>
        </w:rPr>
        <w:t xml:space="preserve">Scenario 1: </w:t>
      </w:r>
      <w:r w:rsidRPr="00F93999">
        <w:rPr>
          <w:rFonts w:ascii="Arial" w:hAnsi="Arial" w:cs="Arial"/>
          <w:sz w:val="22"/>
          <w:szCs w:val="22"/>
          <w:lang w:bidi="en-US"/>
        </w:rPr>
        <w:t>The teaching physician personally performs all the required elements of an E/M service without a student. In this scenario the student may or may not have performed an E/M service independently. In the absence of documentation by a student, the teaching physician must document as he/she would document an E/M service in a nonteaching setting.</w:t>
      </w:r>
    </w:p>
    <w:p w14:paraId="0FD95D58" w14:textId="77777777" w:rsidR="00F93999" w:rsidRDefault="00F93999" w:rsidP="00D20EFD">
      <w:pPr>
        <w:rPr>
          <w:rFonts w:ascii="Arial" w:hAnsi="Arial" w:cs="Arial"/>
          <w:sz w:val="22"/>
          <w:szCs w:val="22"/>
          <w:lang w:bidi="en-US"/>
        </w:rPr>
      </w:pPr>
    </w:p>
    <w:p w14:paraId="6BA67C15" w14:textId="77777777" w:rsidR="00F93999" w:rsidRPr="00F93999" w:rsidRDefault="00F93999" w:rsidP="00D20EFD">
      <w:pPr>
        <w:rPr>
          <w:rFonts w:ascii="Arial" w:hAnsi="Arial" w:cs="Arial"/>
          <w:sz w:val="22"/>
          <w:szCs w:val="22"/>
          <w:lang w:bidi="en-US"/>
        </w:rPr>
      </w:pPr>
    </w:p>
    <w:p w14:paraId="470F96A9" w14:textId="77777777" w:rsidR="00D20EFD" w:rsidRDefault="00D20EFD" w:rsidP="00D20EFD">
      <w:pPr>
        <w:rPr>
          <w:rFonts w:ascii="Arial" w:hAnsi="Arial" w:cs="Arial"/>
          <w:sz w:val="22"/>
          <w:szCs w:val="22"/>
          <w:lang w:bidi="en-US"/>
        </w:rPr>
      </w:pPr>
      <w:r w:rsidRPr="00F93999">
        <w:rPr>
          <w:rFonts w:ascii="Arial" w:hAnsi="Arial" w:cs="Arial"/>
          <w:b/>
          <w:sz w:val="22"/>
          <w:szCs w:val="22"/>
          <w:lang w:bidi="en-US"/>
        </w:rPr>
        <w:t>Scenario 2:</w:t>
      </w:r>
      <w:r w:rsidRPr="00F93999">
        <w:rPr>
          <w:rFonts w:ascii="Arial" w:hAnsi="Arial" w:cs="Arial"/>
          <w:sz w:val="22"/>
          <w:szCs w:val="22"/>
          <w:lang w:bidi="en-US"/>
        </w:rPr>
        <w:t xml:space="preserve"> The student performs the elements required for an E/M service in the presence of, or jointly with, the teaching physician and the student documents the service. The teaching physician performs or re-performs the HPI and the physical exam, and participates in the medical decision making. The teaching physician verifies* the student’s entry in the patient’s record. For payment, the composite note must support the medical necessity and the level of the service billed by the teaching physician.</w:t>
      </w:r>
    </w:p>
    <w:p w14:paraId="20DEAB66" w14:textId="77777777" w:rsidR="00F93999" w:rsidRDefault="00F93999" w:rsidP="00D20EFD">
      <w:pPr>
        <w:rPr>
          <w:rFonts w:ascii="Arial" w:hAnsi="Arial" w:cs="Arial"/>
          <w:sz w:val="22"/>
          <w:szCs w:val="22"/>
          <w:lang w:bidi="en-US"/>
        </w:rPr>
      </w:pPr>
    </w:p>
    <w:p w14:paraId="6CF31BE0" w14:textId="77777777" w:rsidR="00F93999" w:rsidRPr="00F93999" w:rsidRDefault="00F93999" w:rsidP="00D20EFD">
      <w:pPr>
        <w:rPr>
          <w:rFonts w:ascii="Arial" w:hAnsi="Arial" w:cs="Arial"/>
          <w:sz w:val="22"/>
          <w:szCs w:val="22"/>
          <w:lang w:bidi="en-US"/>
        </w:rPr>
      </w:pPr>
    </w:p>
    <w:p w14:paraId="3C139B0D" w14:textId="77777777" w:rsidR="00D20EFD" w:rsidRDefault="00D20EFD" w:rsidP="00D20EFD">
      <w:pPr>
        <w:rPr>
          <w:rFonts w:ascii="Arial" w:hAnsi="Arial" w:cs="Arial"/>
          <w:sz w:val="22"/>
          <w:szCs w:val="22"/>
          <w:lang w:bidi="en-US"/>
        </w:rPr>
      </w:pPr>
      <w:r w:rsidRPr="00F93999">
        <w:rPr>
          <w:rFonts w:ascii="Arial" w:hAnsi="Arial" w:cs="Arial"/>
          <w:b/>
          <w:sz w:val="22"/>
          <w:szCs w:val="22"/>
          <w:lang w:bidi="en-US"/>
        </w:rPr>
        <w:t>Scenario 3:</w:t>
      </w:r>
      <w:r w:rsidRPr="00F93999">
        <w:rPr>
          <w:rFonts w:ascii="Arial" w:hAnsi="Arial" w:cs="Arial"/>
          <w:sz w:val="22"/>
          <w:szCs w:val="22"/>
          <w:lang w:bidi="en-US"/>
        </w:rPr>
        <w:t xml:space="preserve"> The student performs some or all of the required elements of the service in the absence of the teaching physician and documents in the patient record. The teaching physician independently performs the HPI, the physical exam, and medical decision making with or without the student present. The teaching physician verifies* the student’s entry in the patient’s record. For payment, the composite note must support the medical necessity and the level of the service billed by the teaching physician.</w:t>
      </w:r>
    </w:p>
    <w:p w14:paraId="196224E6" w14:textId="77777777" w:rsidR="00F93999" w:rsidRDefault="00F93999" w:rsidP="00D20EFD">
      <w:pPr>
        <w:rPr>
          <w:rFonts w:ascii="Arial" w:hAnsi="Arial" w:cs="Arial"/>
          <w:sz w:val="22"/>
          <w:szCs w:val="22"/>
          <w:lang w:bidi="en-US"/>
        </w:rPr>
      </w:pPr>
    </w:p>
    <w:p w14:paraId="45814FF1" w14:textId="77777777" w:rsidR="00F93999" w:rsidRPr="00F93999" w:rsidRDefault="00F93999" w:rsidP="00D20EFD">
      <w:pPr>
        <w:rPr>
          <w:rFonts w:ascii="Arial" w:hAnsi="Arial" w:cs="Arial"/>
          <w:sz w:val="22"/>
          <w:szCs w:val="22"/>
          <w:lang w:bidi="en-US"/>
        </w:rPr>
      </w:pPr>
    </w:p>
    <w:p w14:paraId="57300A67" w14:textId="77777777" w:rsidR="00D20EFD" w:rsidRDefault="00D20EFD" w:rsidP="00D20EFD">
      <w:pPr>
        <w:rPr>
          <w:rFonts w:ascii="Arial" w:hAnsi="Arial" w:cs="Arial"/>
          <w:sz w:val="22"/>
          <w:szCs w:val="22"/>
          <w:lang w:bidi="en-US"/>
        </w:rPr>
      </w:pPr>
      <w:r w:rsidRPr="00F93999">
        <w:rPr>
          <w:rFonts w:ascii="Arial" w:hAnsi="Arial" w:cs="Arial"/>
          <w:b/>
          <w:sz w:val="22"/>
          <w:szCs w:val="22"/>
          <w:lang w:bidi="en-US"/>
        </w:rPr>
        <w:t>Scenario 4:</w:t>
      </w:r>
      <w:r w:rsidRPr="00F93999">
        <w:rPr>
          <w:rFonts w:ascii="Arial" w:hAnsi="Arial" w:cs="Arial"/>
          <w:sz w:val="22"/>
          <w:szCs w:val="22"/>
          <w:lang w:bidi="en-US"/>
        </w:rPr>
        <w:t xml:space="preserve"> The student performs some or all of the required elements of the service in the presence of, jointly with, or in the absence of the resident and documents in the patient record. The resident performs some or all of the required elements of the service in the absence of the teaching physician with or without the student present. The resident verifies* the student’s entry in the patient’s record and attests that he/she (the resident) performed the required elements of the service. The teaching physician independently performs the critical or key portions of the service and participates in the management of the patient.  The teaching physician verifies* the composite entry in the patient’s record. For payment, the composite note must support the medical necessity and the level of the service billed by the teaching physician.</w:t>
      </w:r>
    </w:p>
    <w:p w14:paraId="652E51E9" w14:textId="77777777" w:rsidR="00F93999" w:rsidRDefault="00F93999" w:rsidP="00D20EFD">
      <w:pPr>
        <w:rPr>
          <w:rFonts w:ascii="Arial" w:hAnsi="Arial" w:cs="Arial"/>
          <w:sz w:val="22"/>
          <w:szCs w:val="22"/>
          <w:lang w:bidi="en-US"/>
        </w:rPr>
      </w:pPr>
    </w:p>
    <w:p w14:paraId="0CE4BC3A" w14:textId="77777777" w:rsidR="00F93999" w:rsidRPr="00F93999" w:rsidRDefault="00F93999" w:rsidP="00D20EFD">
      <w:pPr>
        <w:rPr>
          <w:rFonts w:ascii="Arial" w:hAnsi="Arial" w:cs="Arial"/>
          <w:sz w:val="22"/>
          <w:szCs w:val="22"/>
          <w:lang w:bidi="en-US"/>
        </w:rPr>
      </w:pPr>
    </w:p>
    <w:p w14:paraId="690BF299" w14:textId="77777777" w:rsidR="00D20EFD" w:rsidRPr="00F93999" w:rsidRDefault="00D20EFD" w:rsidP="00D20EFD">
      <w:pPr>
        <w:rPr>
          <w:rFonts w:ascii="Arial" w:hAnsi="Arial" w:cs="Arial"/>
          <w:sz w:val="22"/>
          <w:szCs w:val="22"/>
          <w:lang w:bidi="en-US"/>
        </w:rPr>
      </w:pPr>
      <w:r w:rsidRPr="00F93999">
        <w:rPr>
          <w:rFonts w:ascii="Arial" w:hAnsi="Arial" w:cs="Arial"/>
          <w:b/>
          <w:sz w:val="22"/>
          <w:szCs w:val="22"/>
          <w:lang w:bidi="en-US"/>
        </w:rPr>
        <w:t>Scenario 5:</w:t>
      </w:r>
      <w:r w:rsidRPr="00F93999">
        <w:rPr>
          <w:rFonts w:ascii="Arial" w:hAnsi="Arial" w:cs="Arial"/>
          <w:sz w:val="22"/>
          <w:szCs w:val="22"/>
          <w:lang w:bidi="en-US"/>
        </w:rPr>
        <w:t xml:space="preserve"> The student performs some or all of the required elements of the service in the presence of, jointly with, or in the absence of the resident and documents in the patient record. The resident performs some or all of the required elements of the service in the presence of, or jointly with the teaching physician with or without the student present. The resident verifies* the student note and attests that he/she (the resident) performed the required elements of the service. The teaching physician verifies* the composite entry in the patient’s record. For payment, the composite note must support the medical necessity and the level of the service billed by the teaching physician.</w:t>
      </w:r>
    </w:p>
    <w:p w14:paraId="0A66C7FA" w14:textId="77777777" w:rsidR="00D20EFD" w:rsidRPr="00F93999" w:rsidRDefault="00D20EFD" w:rsidP="00D20EFD">
      <w:pPr>
        <w:rPr>
          <w:rFonts w:ascii="Arial" w:hAnsi="Arial" w:cs="Arial"/>
          <w:sz w:val="22"/>
          <w:szCs w:val="22"/>
          <w:lang w:bidi="en-US"/>
        </w:rPr>
      </w:pPr>
    </w:p>
    <w:p w14:paraId="241286FB" w14:textId="77777777" w:rsidR="00D20EFD" w:rsidRPr="00F93999" w:rsidRDefault="00D20EFD" w:rsidP="00D20EFD">
      <w:pPr>
        <w:rPr>
          <w:rFonts w:ascii="Arial" w:hAnsi="Arial" w:cs="Arial"/>
          <w:sz w:val="22"/>
          <w:szCs w:val="22"/>
        </w:rPr>
      </w:pPr>
      <w:r w:rsidRPr="00F93999">
        <w:rPr>
          <w:rFonts w:ascii="Arial" w:hAnsi="Arial" w:cs="Arial"/>
          <w:sz w:val="22"/>
          <w:szCs w:val="22"/>
          <w:lang w:bidi="en-US"/>
        </w:rPr>
        <w:t>*Verify: review and ensure the documentation is true and accurate. This includes editing as needed</w:t>
      </w:r>
    </w:p>
    <w:p w14:paraId="79A2E2EC" w14:textId="29265258" w:rsidR="00D52D96" w:rsidRPr="00F93999" w:rsidRDefault="00D52D96">
      <w:pPr>
        <w:rPr>
          <w:rFonts w:ascii="Arial" w:hAnsi="Arial" w:cs="Arial"/>
          <w:sz w:val="22"/>
          <w:szCs w:val="22"/>
        </w:rPr>
      </w:pPr>
    </w:p>
    <w:p w14:paraId="076B19AA" w14:textId="77777777" w:rsidR="00D52D96" w:rsidRPr="00F93999" w:rsidRDefault="00D52D96">
      <w:pPr>
        <w:rPr>
          <w:rFonts w:ascii="Arial" w:hAnsi="Arial" w:cs="Arial"/>
          <w:sz w:val="22"/>
          <w:szCs w:val="22"/>
        </w:rPr>
      </w:pPr>
    </w:p>
    <w:sectPr w:rsidR="00D52D96" w:rsidRPr="00F93999" w:rsidSect="00D0677E">
      <w:pgSz w:w="12240" w:h="15840"/>
      <w:pgMar w:top="540" w:right="540" w:bottom="540" w:left="5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883148" w14:textId="77777777" w:rsidR="00183FA9" w:rsidRDefault="00183FA9" w:rsidP="00783E5B">
      <w:r>
        <w:separator/>
      </w:r>
    </w:p>
  </w:endnote>
  <w:endnote w:type="continuationSeparator" w:id="0">
    <w:p w14:paraId="4FE32625" w14:textId="77777777" w:rsidR="00183FA9" w:rsidRDefault="00183FA9" w:rsidP="00783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604E3" w14:textId="77777777" w:rsidR="00183FA9" w:rsidRDefault="00183FA9" w:rsidP="00783E5B">
      <w:r>
        <w:separator/>
      </w:r>
    </w:p>
  </w:footnote>
  <w:footnote w:type="continuationSeparator" w:id="0">
    <w:p w14:paraId="5DB31B53" w14:textId="77777777" w:rsidR="00183FA9" w:rsidRDefault="00183FA9" w:rsidP="00783E5B">
      <w:r>
        <w:continuationSeparator/>
      </w:r>
    </w:p>
  </w:footnote>
  <w:footnote w:id="1">
    <w:p w14:paraId="75D117C2" w14:textId="77777777" w:rsidR="00D20EFD" w:rsidRPr="00F93999" w:rsidRDefault="00D20EFD" w:rsidP="00D20EFD">
      <w:pPr>
        <w:pStyle w:val="FootnoteText"/>
        <w:rPr>
          <w:rFonts w:ascii="Arial" w:hAnsi="Arial" w:cs="Arial"/>
          <w:sz w:val="18"/>
          <w:szCs w:val="18"/>
        </w:rPr>
      </w:pPr>
      <w:r>
        <w:rPr>
          <w:rStyle w:val="FootnoteReference"/>
        </w:rPr>
        <w:footnoteRef/>
      </w:r>
      <w:r>
        <w:t xml:space="preserve"> </w:t>
      </w:r>
      <w:r w:rsidRPr="00F93999">
        <w:rPr>
          <w:rFonts w:ascii="Arial" w:hAnsi="Arial" w:cs="Arial"/>
          <w:sz w:val="18"/>
          <w:szCs w:val="18"/>
        </w:rPr>
        <w:t>The Balanced Budget Act of 1997 (BBA) limited the number of allopathic and osteopathic medical residents that would be counted for purposes of calculating Medicare indirect medical education (IME) and direct graduate medical education (DGME) reimbursement to the unweighted number on each hospital's most recent cost report as of December 31, 1996 (BBA Section 4621). Effective October 1, 1997, to the extent the number of allopathic or osteopathic residents being trained at a teaching hospital exceeds the 1996 limit, teaching hospitals receive no additional IME or DGME payments; podiatry and dental residents are excluded from the resident limits. The Balanced Budget Refinement Act of 1999 (BBRA) increased the limit for rural teaching hospitals to equal 130% of each rural teaching hospital's 1996 resident count (BBRA Section 407).</w:t>
      </w:r>
      <w:r w:rsidRPr="00F93999">
        <w:rPr>
          <w:rFonts w:ascii="Arial" w:hAnsi="Arial" w:cs="Arial"/>
          <w:sz w:val="18"/>
          <w:szCs w:val="18"/>
          <w:vertAlign w:val="superscript"/>
        </w:rPr>
        <w:footnoteRef/>
      </w:r>
    </w:p>
  </w:footnote>
  <w:footnote w:id="2">
    <w:p w14:paraId="71895FBD" w14:textId="77777777" w:rsidR="00D20EFD" w:rsidRPr="00F93999" w:rsidRDefault="00D20EFD" w:rsidP="00D20EFD">
      <w:pPr>
        <w:pStyle w:val="FootnoteText"/>
        <w:rPr>
          <w:rFonts w:ascii="Arial" w:hAnsi="Arial" w:cs="Arial"/>
          <w:sz w:val="18"/>
          <w:szCs w:val="18"/>
        </w:rPr>
      </w:pPr>
      <w:r w:rsidRPr="00F93999">
        <w:rPr>
          <w:rStyle w:val="FootnoteReference"/>
          <w:rFonts w:ascii="Arial" w:hAnsi="Arial" w:cs="Arial"/>
          <w:sz w:val="18"/>
          <w:szCs w:val="18"/>
        </w:rPr>
        <w:footnoteRef/>
      </w:r>
      <w:r w:rsidRPr="00F93999">
        <w:rPr>
          <w:rFonts w:ascii="Arial" w:hAnsi="Arial" w:cs="Arial"/>
          <w:sz w:val="18"/>
          <w:szCs w:val="18"/>
        </w:rPr>
        <w:t xml:space="preserve"> Officially part of the calculation for determining Direct GME payments, used in this paper as a proxy for the amount an institution is reimbursed globally for the training of one FTE resident per year. </w:t>
      </w:r>
    </w:p>
  </w:footnote>
  <w:footnote w:id="3">
    <w:p w14:paraId="3E2AD603" w14:textId="77777777" w:rsidR="00D20EFD" w:rsidRPr="00F93999" w:rsidRDefault="00D20EFD" w:rsidP="00D20EFD">
      <w:pPr>
        <w:pStyle w:val="FootnoteText"/>
        <w:rPr>
          <w:rFonts w:ascii="Arial" w:hAnsi="Arial" w:cs="Arial"/>
          <w:sz w:val="18"/>
          <w:szCs w:val="18"/>
        </w:rPr>
      </w:pPr>
      <w:r w:rsidRPr="00F93999">
        <w:rPr>
          <w:rStyle w:val="FootnoteReference"/>
          <w:rFonts w:ascii="Arial" w:hAnsi="Arial" w:cs="Arial"/>
          <w:sz w:val="18"/>
          <w:szCs w:val="18"/>
        </w:rPr>
        <w:footnoteRef/>
      </w:r>
      <w:r w:rsidRPr="00F93999">
        <w:rPr>
          <w:rFonts w:ascii="Arial" w:hAnsi="Arial" w:cs="Arial"/>
          <w:sz w:val="18"/>
          <w:szCs w:val="18"/>
        </w:rPr>
        <w:t xml:space="preserve"> Rural Training Track (RTT) residency programs provide graduate medical education to prepare resident physicians broadly for rural family medicine. The most popular model is the “1-2” RTT. In “1-2” programs, the first year of residency takes place in an urban-based program setting while the second and third years occur in a more rural area. This model capitalizes upon the best training opportunities in both contexts. </w:t>
      </w:r>
    </w:p>
    <w:p w14:paraId="0C6110C7" w14:textId="77777777" w:rsidR="00D20EFD" w:rsidRDefault="00D20EFD" w:rsidP="00D20EFD">
      <w:pPr>
        <w:pStyle w:val="FootnoteText"/>
      </w:pPr>
    </w:p>
  </w:footnote>
  <w:footnote w:id="4">
    <w:p w14:paraId="02CD540D" w14:textId="77777777" w:rsidR="00D20EFD" w:rsidRPr="00F93999" w:rsidRDefault="00D20EFD" w:rsidP="00D20EFD">
      <w:pPr>
        <w:pStyle w:val="FootnoteText"/>
        <w:rPr>
          <w:rFonts w:ascii="Arial" w:hAnsi="Arial" w:cs="Arial"/>
          <w:sz w:val="18"/>
          <w:szCs w:val="18"/>
        </w:rPr>
      </w:pPr>
      <w:r>
        <w:rPr>
          <w:rStyle w:val="FootnoteReference"/>
        </w:rPr>
        <w:footnoteRef/>
      </w:r>
      <w:r>
        <w:t xml:space="preserve"> </w:t>
      </w:r>
      <w:proofErr w:type="gramStart"/>
      <w:r w:rsidRPr="00F93999">
        <w:rPr>
          <w:rFonts w:ascii="Arial" w:hAnsi="Arial" w:cs="Arial"/>
          <w:sz w:val="18"/>
          <w:szCs w:val="18"/>
        </w:rPr>
        <w:t>Rural Training Track Technical Assistance Program.</w:t>
      </w:r>
      <w:proofErr w:type="gramEnd"/>
      <w:r w:rsidRPr="00F93999">
        <w:rPr>
          <w:rFonts w:ascii="Arial" w:hAnsi="Arial" w:cs="Arial"/>
          <w:sz w:val="18"/>
          <w:szCs w:val="18"/>
        </w:rPr>
        <w:t xml:space="preserve"> http://www.raconline.org/rtt/about_rtts</w:t>
      </w:r>
    </w:p>
  </w:footnote>
  <w:footnote w:id="5">
    <w:p w14:paraId="1A1E1B37" w14:textId="77777777" w:rsidR="00D20EFD" w:rsidRPr="00F93999" w:rsidRDefault="00D20EFD" w:rsidP="00D20EFD">
      <w:pPr>
        <w:pStyle w:val="FootnoteText"/>
        <w:rPr>
          <w:rFonts w:ascii="Arial" w:hAnsi="Arial" w:cs="Arial"/>
          <w:sz w:val="18"/>
          <w:szCs w:val="18"/>
        </w:rPr>
      </w:pPr>
      <w:r w:rsidRPr="00F93999">
        <w:rPr>
          <w:rStyle w:val="FootnoteReference"/>
          <w:rFonts w:ascii="Arial" w:hAnsi="Arial" w:cs="Arial"/>
          <w:sz w:val="18"/>
          <w:szCs w:val="18"/>
        </w:rPr>
        <w:footnoteRef/>
      </w:r>
      <w:r w:rsidRPr="00F93999">
        <w:rPr>
          <w:rFonts w:ascii="Arial" w:hAnsi="Arial" w:cs="Arial"/>
          <w:sz w:val="18"/>
          <w:szCs w:val="18"/>
        </w:rPr>
        <w:t xml:space="preserve"> `(F) LIMITATION ON NUMBER OF RESIDENTS IN ALLOPATHIC AND OSTEOPATHIC MEDICINE- Such rules shall provide that for purposes of a cost reporting period beginning on or after October 1, 1997, the total number of full-time equivalent residents before application of weighting factors (as determined under this paragraph) with respect to a hospital's approved medical residency training program in the fields of allopathic medicine and osteopathic medicine may not exceed the number of such full-time equivalent residents for the hospital's most recent cost reporting period ending on or before December 31, 1996.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0013F"/>
    <w:multiLevelType w:val="hybridMultilevel"/>
    <w:tmpl w:val="D0282084"/>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84E86"/>
    <w:multiLevelType w:val="hybridMultilevel"/>
    <w:tmpl w:val="FBA8E840"/>
    <w:lvl w:ilvl="0" w:tplc="230E410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B8A7C01"/>
    <w:multiLevelType w:val="hybridMultilevel"/>
    <w:tmpl w:val="09A68CEC"/>
    <w:lvl w:ilvl="0" w:tplc="1E94589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12973FB"/>
    <w:multiLevelType w:val="hybridMultilevel"/>
    <w:tmpl w:val="08CE06EC"/>
    <w:lvl w:ilvl="0" w:tplc="E5B61E1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D96"/>
    <w:rsid w:val="00183FA9"/>
    <w:rsid w:val="00684961"/>
    <w:rsid w:val="00783E5B"/>
    <w:rsid w:val="00B05ED0"/>
    <w:rsid w:val="00B8522C"/>
    <w:rsid w:val="00BC3F08"/>
    <w:rsid w:val="00C16309"/>
    <w:rsid w:val="00D0677E"/>
    <w:rsid w:val="00D20EFD"/>
    <w:rsid w:val="00D52D96"/>
    <w:rsid w:val="00D7090E"/>
    <w:rsid w:val="00F93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C38E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D9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52D96"/>
  </w:style>
  <w:style w:type="paragraph" w:styleId="FootnoteText">
    <w:name w:val="footnote text"/>
    <w:basedOn w:val="Normal"/>
    <w:link w:val="FootnoteTextChar"/>
    <w:uiPriority w:val="99"/>
    <w:semiHidden/>
    <w:unhideWhenUsed/>
    <w:rsid w:val="00D20EFD"/>
    <w:rPr>
      <w:rFonts w:ascii="Helvetica" w:hAnsi="Helvetica"/>
      <w:sz w:val="20"/>
      <w:szCs w:val="20"/>
    </w:rPr>
  </w:style>
  <w:style w:type="character" w:customStyle="1" w:styleId="FootnoteTextChar">
    <w:name w:val="Footnote Text Char"/>
    <w:basedOn w:val="DefaultParagraphFont"/>
    <w:link w:val="FootnoteText"/>
    <w:uiPriority w:val="99"/>
    <w:semiHidden/>
    <w:rsid w:val="00D20EFD"/>
    <w:rPr>
      <w:rFonts w:ascii="Helvetica" w:hAnsi="Helvetica"/>
      <w:sz w:val="20"/>
      <w:szCs w:val="20"/>
    </w:rPr>
  </w:style>
  <w:style w:type="character" w:styleId="FootnoteReference">
    <w:name w:val="footnote reference"/>
    <w:basedOn w:val="DefaultParagraphFont"/>
    <w:uiPriority w:val="99"/>
    <w:semiHidden/>
    <w:unhideWhenUsed/>
    <w:rsid w:val="00D20EFD"/>
    <w:rPr>
      <w:vertAlign w:val="superscript"/>
    </w:rPr>
  </w:style>
  <w:style w:type="character" w:styleId="Hyperlink">
    <w:name w:val="Hyperlink"/>
    <w:basedOn w:val="DefaultParagraphFont"/>
    <w:uiPriority w:val="99"/>
    <w:unhideWhenUsed/>
    <w:rsid w:val="00D20EFD"/>
    <w:rPr>
      <w:color w:val="0563C1" w:themeColor="hyperlink"/>
      <w:u w:val="single"/>
    </w:rPr>
  </w:style>
  <w:style w:type="paragraph" w:styleId="ListParagraph">
    <w:name w:val="List Paragraph"/>
    <w:basedOn w:val="Normal"/>
    <w:uiPriority w:val="34"/>
    <w:qFormat/>
    <w:rsid w:val="00D20EFD"/>
    <w:pPr>
      <w:ind w:left="720"/>
      <w:contextualSpacing/>
    </w:pPr>
  </w:style>
  <w:style w:type="paragraph" w:styleId="BalloonText">
    <w:name w:val="Balloon Text"/>
    <w:basedOn w:val="Normal"/>
    <w:link w:val="BalloonTextChar"/>
    <w:uiPriority w:val="99"/>
    <w:semiHidden/>
    <w:unhideWhenUsed/>
    <w:rsid w:val="00F93999"/>
    <w:rPr>
      <w:rFonts w:ascii="Tahoma" w:hAnsi="Tahoma" w:cs="Tahoma"/>
      <w:sz w:val="16"/>
      <w:szCs w:val="16"/>
    </w:rPr>
  </w:style>
  <w:style w:type="character" w:customStyle="1" w:styleId="BalloonTextChar">
    <w:name w:val="Balloon Text Char"/>
    <w:basedOn w:val="DefaultParagraphFont"/>
    <w:link w:val="BalloonText"/>
    <w:uiPriority w:val="99"/>
    <w:semiHidden/>
    <w:rsid w:val="00F939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D9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52D96"/>
  </w:style>
  <w:style w:type="paragraph" w:styleId="FootnoteText">
    <w:name w:val="footnote text"/>
    <w:basedOn w:val="Normal"/>
    <w:link w:val="FootnoteTextChar"/>
    <w:uiPriority w:val="99"/>
    <w:semiHidden/>
    <w:unhideWhenUsed/>
    <w:rsid w:val="00D20EFD"/>
    <w:rPr>
      <w:rFonts w:ascii="Helvetica" w:hAnsi="Helvetica"/>
      <w:sz w:val="20"/>
      <w:szCs w:val="20"/>
    </w:rPr>
  </w:style>
  <w:style w:type="character" w:customStyle="1" w:styleId="FootnoteTextChar">
    <w:name w:val="Footnote Text Char"/>
    <w:basedOn w:val="DefaultParagraphFont"/>
    <w:link w:val="FootnoteText"/>
    <w:uiPriority w:val="99"/>
    <w:semiHidden/>
    <w:rsid w:val="00D20EFD"/>
    <w:rPr>
      <w:rFonts w:ascii="Helvetica" w:hAnsi="Helvetica"/>
      <w:sz w:val="20"/>
      <w:szCs w:val="20"/>
    </w:rPr>
  </w:style>
  <w:style w:type="character" w:styleId="FootnoteReference">
    <w:name w:val="footnote reference"/>
    <w:basedOn w:val="DefaultParagraphFont"/>
    <w:uiPriority w:val="99"/>
    <w:semiHidden/>
    <w:unhideWhenUsed/>
    <w:rsid w:val="00D20EFD"/>
    <w:rPr>
      <w:vertAlign w:val="superscript"/>
    </w:rPr>
  </w:style>
  <w:style w:type="character" w:styleId="Hyperlink">
    <w:name w:val="Hyperlink"/>
    <w:basedOn w:val="DefaultParagraphFont"/>
    <w:uiPriority w:val="99"/>
    <w:unhideWhenUsed/>
    <w:rsid w:val="00D20EFD"/>
    <w:rPr>
      <w:color w:val="0563C1" w:themeColor="hyperlink"/>
      <w:u w:val="single"/>
    </w:rPr>
  </w:style>
  <w:style w:type="paragraph" w:styleId="ListParagraph">
    <w:name w:val="List Paragraph"/>
    <w:basedOn w:val="Normal"/>
    <w:uiPriority w:val="34"/>
    <w:qFormat/>
    <w:rsid w:val="00D20EFD"/>
    <w:pPr>
      <w:ind w:left="720"/>
      <w:contextualSpacing/>
    </w:pPr>
  </w:style>
  <w:style w:type="paragraph" w:styleId="BalloonText">
    <w:name w:val="Balloon Text"/>
    <w:basedOn w:val="Normal"/>
    <w:link w:val="BalloonTextChar"/>
    <w:uiPriority w:val="99"/>
    <w:semiHidden/>
    <w:unhideWhenUsed/>
    <w:rsid w:val="00F93999"/>
    <w:rPr>
      <w:rFonts w:ascii="Tahoma" w:hAnsi="Tahoma" w:cs="Tahoma"/>
      <w:sz w:val="16"/>
      <w:szCs w:val="16"/>
    </w:rPr>
  </w:style>
  <w:style w:type="character" w:customStyle="1" w:styleId="BalloonTextChar">
    <w:name w:val="Balloon Text Char"/>
    <w:basedOn w:val="DefaultParagraphFont"/>
    <w:link w:val="BalloonText"/>
    <w:uiPriority w:val="99"/>
    <w:semiHidden/>
    <w:rsid w:val="00F939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96981">
      <w:bodyDiv w:val="1"/>
      <w:marLeft w:val="0"/>
      <w:marRight w:val="0"/>
      <w:marTop w:val="0"/>
      <w:marBottom w:val="0"/>
      <w:divBdr>
        <w:top w:val="none" w:sz="0" w:space="0" w:color="auto"/>
        <w:left w:val="none" w:sz="0" w:space="0" w:color="auto"/>
        <w:bottom w:val="none" w:sz="0" w:space="0" w:color="auto"/>
        <w:right w:val="none" w:sz="0" w:space="0" w:color="auto"/>
      </w:divBdr>
    </w:div>
    <w:div w:id="378361814">
      <w:bodyDiv w:val="1"/>
      <w:marLeft w:val="0"/>
      <w:marRight w:val="0"/>
      <w:marTop w:val="0"/>
      <w:marBottom w:val="0"/>
      <w:divBdr>
        <w:top w:val="none" w:sz="0" w:space="0" w:color="auto"/>
        <w:left w:val="none" w:sz="0" w:space="0" w:color="auto"/>
        <w:bottom w:val="none" w:sz="0" w:space="0" w:color="auto"/>
        <w:right w:val="none" w:sz="0" w:space="0" w:color="auto"/>
      </w:divBdr>
    </w:div>
    <w:div w:id="638726523">
      <w:bodyDiv w:val="1"/>
      <w:marLeft w:val="0"/>
      <w:marRight w:val="0"/>
      <w:marTop w:val="0"/>
      <w:marBottom w:val="0"/>
      <w:divBdr>
        <w:top w:val="none" w:sz="0" w:space="0" w:color="auto"/>
        <w:left w:val="none" w:sz="0" w:space="0" w:color="auto"/>
        <w:bottom w:val="none" w:sz="0" w:space="0" w:color="auto"/>
        <w:right w:val="none" w:sz="0" w:space="0" w:color="auto"/>
      </w:divBdr>
    </w:div>
    <w:div w:id="966741661">
      <w:bodyDiv w:val="1"/>
      <w:marLeft w:val="0"/>
      <w:marRight w:val="0"/>
      <w:marTop w:val="0"/>
      <w:marBottom w:val="0"/>
      <w:divBdr>
        <w:top w:val="none" w:sz="0" w:space="0" w:color="auto"/>
        <w:left w:val="none" w:sz="0" w:space="0" w:color="auto"/>
        <w:bottom w:val="none" w:sz="0" w:space="0" w:color="auto"/>
        <w:right w:val="none" w:sz="0" w:space="0" w:color="auto"/>
      </w:divBdr>
    </w:div>
    <w:div w:id="97139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yperlink" Target="https://www.cms.gov/Regulations-and-Guidance/Guidance/Transmittals/2018Downloads/R4068CP.pdf" TargetMode="External"/><Relationship Id="rId2" Type="http://schemas.openxmlformats.org/officeDocument/2006/relationships/numbering" Target="numbering.xml"/><Relationship Id="rId16" Type="http://schemas.openxmlformats.org/officeDocument/2006/relationships/hyperlink" Target="https://www.cms.gov/Regulations-and-Guidance/Guidance/Transmittals/2018Downloads/R4068CP.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cgme.org/What-We-Do/Accreditation/Clinical-Experience-and-Education-formerly-Duty-Hours/Research-and-Testimony" TargetMode="External"/><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hyperlink" Target="https://www.acgme.org/What-We-Do/Accreditation/Common-Program-Requirement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F7A8B-60D9-4775-88F1-9958BB055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4213</Words>
  <Characters>24015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STFM</Company>
  <LinksUpToDate>false</LinksUpToDate>
  <CharactersWithSpaces>28172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jbeets@stfm.org</dc:creator>
  <cp:lastModifiedBy>Hope</cp:lastModifiedBy>
  <cp:revision>4</cp:revision>
  <cp:lastPrinted>2019-08-12T16:07:00Z</cp:lastPrinted>
  <dcterms:created xsi:type="dcterms:W3CDTF">2019-08-12T19:03:00Z</dcterms:created>
  <dcterms:modified xsi:type="dcterms:W3CDTF">2019-08-12T19:06:00Z</dcterms:modified>
</cp:coreProperties>
</file>