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04541" w14:textId="77777777" w:rsidR="00C9060A" w:rsidRPr="00DB5A3B" w:rsidRDefault="00C9060A" w:rsidP="00C9060A">
      <w:pPr>
        <w:tabs>
          <w:tab w:val="left" w:pos="954"/>
        </w:tabs>
        <w:spacing w:after="150" w:line="300" w:lineRule="atLeast"/>
        <w:rPr>
          <w:rFonts w:ascii="Arial" w:hAnsi="Arial" w:cs="Arial"/>
          <w:color w:val="606060"/>
        </w:rPr>
      </w:pPr>
      <w:r w:rsidRPr="00DB5A3B">
        <w:rPr>
          <w:rFonts w:ascii="Arial" w:eastAsia="Times New Roman" w:hAnsi="Arial" w:cs="Arial"/>
          <w:b/>
          <w:bCs/>
          <w:color w:val="606060"/>
        </w:rPr>
        <w:t>Title</w:t>
      </w:r>
      <w:r w:rsidRPr="00DB5A3B">
        <w:rPr>
          <w:rFonts w:ascii="Arial" w:eastAsia="Times New Roman" w:hAnsi="Arial" w:cs="Arial"/>
          <w:color w:val="606060"/>
        </w:rPr>
        <w:t xml:space="preserve">: </w:t>
      </w:r>
      <w:r w:rsidRPr="00C9060A">
        <w:rPr>
          <w:rFonts w:ascii="Arial" w:hAnsi="Arial" w:cs="Arial"/>
          <w:color w:val="606060"/>
        </w:rPr>
        <w:t xml:space="preserve">How to Do an Excellent Health Maintenance Visit for Children, Adults </w:t>
      </w:r>
      <w:r w:rsidRPr="00DB5A3B">
        <w:rPr>
          <w:rFonts w:ascii="Arial" w:hAnsi="Arial" w:cs="Arial"/>
          <w:color w:val="606060"/>
        </w:rPr>
        <w:t>–</w:t>
      </w:r>
      <w:r w:rsidRPr="00C9060A">
        <w:rPr>
          <w:rFonts w:ascii="Arial" w:hAnsi="Arial" w:cs="Arial"/>
          <w:color w:val="606060"/>
        </w:rPr>
        <w:t xml:space="preserve"> Everyone</w:t>
      </w:r>
    </w:p>
    <w:p w14:paraId="537DAF0C" w14:textId="77777777" w:rsidR="00DB5A3B" w:rsidRDefault="00DB5A3B" w:rsidP="00DB5A3B">
      <w:pPr>
        <w:spacing w:line="300" w:lineRule="atLeast"/>
        <w:rPr>
          <w:rFonts w:ascii="Arial" w:eastAsia="Times New Roman" w:hAnsi="Arial" w:cs="Arial"/>
          <w:b/>
          <w:bCs/>
          <w:color w:val="606060"/>
          <w:sz w:val="21"/>
          <w:szCs w:val="21"/>
        </w:rPr>
      </w:pPr>
      <w:r w:rsidRPr="00C9060A">
        <w:rPr>
          <w:rFonts w:ascii="Arial" w:eastAsia="Times New Roman" w:hAnsi="Arial" w:cs="Arial"/>
          <w:b/>
          <w:bCs/>
          <w:color w:val="606060"/>
          <w:sz w:val="21"/>
          <w:szCs w:val="21"/>
        </w:rPr>
        <w:t>Author</w:t>
      </w:r>
      <w:r>
        <w:rPr>
          <w:rFonts w:ascii="Arial" w:eastAsia="Times New Roman" w:hAnsi="Arial" w:cs="Arial"/>
          <w:b/>
          <w:bCs/>
          <w:color w:val="606060"/>
          <w:sz w:val="21"/>
          <w:szCs w:val="21"/>
        </w:rPr>
        <w:t xml:space="preserve">: </w:t>
      </w:r>
      <w:r w:rsidRPr="00C9060A">
        <w:rPr>
          <w:rFonts w:ascii="Arial" w:eastAsia="Times New Roman" w:hAnsi="Arial" w:cs="Arial"/>
          <w:b/>
          <w:bCs/>
          <w:color w:val="606060"/>
          <w:sz w:val="21"/>
          <w:szCs w:val="21"/>
        </w:rPr>
        <w:t>Joshua David</w:t>
      </w:r>
      <w:r>
        <w:rPr>
          <w:rFonts w:ascii="Arial" w:eastAsia="Times New Roman" w:hAnsi="Arial" w:cs="Arial"/>
          <w:b/>
          <w:bCs/>
          <w:color w:val="606060"/>
          <w:sz w:val="21"/>
          <w:szCs w:val="21"/>
        </w:rPr>
        <w:t xml:space="preserve"> </w:t>
      </w:r>
      <w:r w:rsidRPr="00C9060A">
        <w:rPr>
          <w:rFonts w:ascii="Arial" w:eastAsia="Times New Roman" w:hAnsi="Arial" w:cs="Arial"/>
          <w:b/>
          <w:bCs/>
          <w:color w:val="606060"/>
          <w:sz w:val="21"/>
          <w:szCs w:val="21"/>
        </w:rPr>
        <w:t>Steinberg,</w:t>
      </w:r>
      <w:r>
        <w:rPr>
          <w:rFonts w:ascii="Arial" w:eastAsia="Times New Roman" w:hAnsi="Arial" w:cs="Arial"/>
          <w:b/>
          <w:bCs/>
          <w:color w:val="606060"/>
          <w:sz w:val="21"/>
          <w:szCs w:val="21"/>
        </w:rPr>
        <w:t xml:space="preserve"> MD, </w:t>
      </w:r>
      <w:r w:rsidRPr="00C9060A">
        <w:rPr>
          <w:rFonts w:ascii="Arial" w:eastAsia="Times New Roman" w:hAnsi="Arial" w:cs="Arial"/>
          <w:color w:val="606060"/>
          <w:sz w:val="21"/>
          <w:szCs w:val="21"/>
        </w:rPr>
        <w:t>UHS-Wilson Family Practice Residency, Family Medicine</w:t>
      </w:r>
    </w:p>
    <w:p w14:paraId="17B1306F" w14:textId="77777777" w:rsidR="00DB5A3B" w:rsidRPr="00DB5A3B" w:rsidRDefault="00DB5A3B" w:rsidP="00DB5A3B">
      <w:pPr>
        <w:spacing w:line="300" w:lineRule="atLeast"/>
        <w:rPr>
          <w:rFonts w:ascii="Arial" w:eastAsia="Times New Roman" w:hAnsi="Arial" w:cs="Arial"/>
          <w:b/>
          <w:bCs/>
          <w:color w:val="606060"/>
          <w:sz w:val="21"/>
          <w:szCs w:val="21"/>
        </w:rPr>
      </w:pPr>
    </w:p>
    <w:p w14:paraId="039BDA56" w14:textId="77777777" w:rsidR="00C9060A" w:rsidRPr="00C9060A" w:rsidRDefault="00C9060A" w:rsidP="00C9060A">
      <w:pPr>
        <w:spacing w:line="240" w:lineRule="atLeast"/>
        <w:rPr>
          <w:rFonts w:ascii="Times New Roman" w:eastAsia="Times New Roman" w:hAnsi="Times New Roman" w:cs="Times New Roman"/>
        </w:rPr>
      </w:pPr>
      <w:r w:rsidRPr="00C9060A">
        <w:rPr>
          <w:rFonts w:ascii="Arial" w:eastAsia="Times New Roman" w:hAnsi="Arial" w:cs="Arial"/>
          <w:b/>
          <w:bCs/>
          <w:color w:val="606060"/>
          <w:sz w:val="21"/>
          <w:szCs w:val="21"/>
        </w:rPr>
        <w:t>Abstract</w:t>
      </w:r>
      <w:r w:rsidR="00DB5A3B">
        <w:rPr>
          <w:rFonts w:ascii="Times New Roman" w:eastAsia="Times New Roman" w:hAnsi="Times New Roman" w:cs="Times New Roman"/>
        </w:rPr>
        <w:t>:</w:t>
      </w:r>
    </w:p>
    <w:p w14:paraId="0D13B7B6" w14:textId="77777777" w:rsidR="00C9060A" w:rsidRDefault="00C9060A" w:rsidP="00C9060A">
      <w:pPr>
        <w:spacing w:before="75" w:after="75" w:line="300" w:lineRule="atLeast"/>
        <w:rPr>
          <w:rFonts w:ascii="Arial" w:hAnsi="Arial" w:cs="Arial"/>
          <w:color w:val="606060"/>
          <w:sz w:val="21"/>
          <w:szCs w:val="21"/>
        </w:rPr>
      </w:pPr>
      <w:r w:rsidRPr="00C9060A">
        <w:rPr>
          <w:rFonts w:ascii="Arial" w:hAnsi="Arial" w:cs="Arial"/>
          <w:color w:val="606060"/>
          <w:sz w:val="21"/>
          <w:szCs w:val="21"/>
        </w:rPr>
        <w:t>Students are typically taught history taking itself and conduct of a patient visit with the acute problem visit. But do they know the principles and content of health maintenance visits nearly as well? This simple curriculum bundle tries to address this issue. </w:t>
      </w:r>
      <w:r w:rsidRPr="00C9060A">
        <w:rPr>
          <w:rFonts w:ascii="Arial" w:hAnsi="Arial" w:cs="Arial"/>
          <w:color w:val="606060"/>
          <w:sz w:val="21"/>
          <w:szCs w:val="21"/>
        </w:rPr>
        <w:br/>
      </w:r>
      <w:r w:rsidRPr="00C9060A">
        <w:rPr>
          <w:rFonts w:ascii="Arial" w:hAnsi="Arial" w:cs="Arial"/>
          <w:color w:val="606060"/>
          <w:sz w:val="21"/>
          <w:szCs w:val="21"/>
        </w:rPr>
        <w:br/>
        <w:t>How to Do an Excellent Health Maintenance Visit discovers, develops, and validates the principles that underlie all such visits. The package starts with well child checkups but then extends the principles to adult health maintenance visits and even prenatal care. If delivered in the socratic, discovery style scripted in the lecture slides, students start with what they’ve already seen in health maintenance visits, build the concepts, explore how they describe all health maintenance, learn the concrete workflow of what to get done in a room with a patient, and come away with support for retention and recall during future health maintenance visits. </w:t>
      </w:r>
    </w:p>
    <w:p w14:paraId="487B89DF" w14:textId="77777777" w:rsidR="00C9060A" w:rsidRDefault="00C9060A" w:rsidP="00C9060A">
      <w:pPr>
        <w:spacing w:before="75" w:after="75" w:line="300" w:lineRule="atLeast"/>
        <w:rPr>
          <w:rFonts w:ascii="Arial" w:eastAsia="Times New Roman" w:hAnsi="Arial" w:cs="Arial"/>
          <w:b/>
          <w:bCs/>
          <w:color w:val="606060"/>
          <w:sz w:val="21"/>
          <w:szCs w:val="21"/>
        </w:rPr>
      </w:pPr>
      <w:r w:rsidRPr="00C9060A">
        <w:rPr>
          <w:rFonts w:ascii="Arial" w:eastAsia="Times New Roman" w:hAnsi="Arial" w:cs="Arial"/>
          <w:b/>
          <w:bCs/>
          <w:color w:val="606060"/>
          <w:sz w:val="21"/>
          <w:szCs w:val="21"/>
        </w:rPr>
        <w:t>Curricular Focus</w:t>
      </w:r>
    </w:p>
    <w:p w14:paraId="46651829" w14:textId="77777777" w:rsidR="00C9060A" w:rsidRDefault="00C9060A" w:rsidP="00C9060A">
      <w:pPr>
        <w:pStyle w:val="ListParagraph"/>
        <w:numPr>
          <w:ilvl w:val="0"/>
          <w:numId w:val="4"/>
        </w:numPr>
        <w:spacing w:before="75" w:after="75" w:line="300" w:lineRule="atLeast"/>
        <w:rPr>
          <w:rFonts w:ascii="Arial" w:eastAsia="Times New Roman" w:hAnsi="Arial" w:cs="Arial"/>
          <w:bCs/>
          <w:color w:val="606060"/>
          <w:sz w:val="21"/>
          <w:szCs w:val="21"/>
        </w:rPr>
      </w:pPr>
      <w:r w:rsidRPr="00C9060A">
        <w:rPr>
          <w:rFonts w:ascii="Arial" w:eastAsia="Times New Roman" w:hAnsi="Arial" w:cs="Arial"/>
          <w:bCs/>
          <w:color w:val="606060"/>
          <w:sz w:val="21"/>
          <w:szCs w:val="21"/>
        </w:rPr>
        <w:t>Health Promotion &amp; Disease Prevention</w:t>
      </w:r>
    </w:p>
    <w:p w14:paraId="2F5CC92B" w14:textId="77777777" w:rsidR="00C9060A" w:rsidRDefault="00C9060A" w:rsidP="00C9060A">
      <w:pPr>
        <w:pStyle w:val="ListParagraph"/>
        <w:numPr>
          <w:ilvl w:val="0"/>
          <w:numId w:val="4"/>
        </w:numPr>
        <w:spacing w:before="75" w:after="75" w:line="300" w:lineRule="atLeast"/>
        <w:rPr>
          <w:rFonts w:ascii="Arial" w:eastAsia="Times New Roman" w:hAnsi="Arial" w:cs="Arial"/>
          <w:bCs/>
          <w:color w:val="606060"/>
          <w:sz w:val="21"/>
          <w:szCs w:val="21"/>
        </w:rPr>
      </w:pPr>
      <w:r w:rsidRPr="00C9060A">
        <w:rPr>
          <w:rFonts w:ascii="Arial" w:eastAsia="Times New Roman" w:hAnsi="Arial" w:cs="Arial"/>
          <w:bCs/>
          <w:color w:val="606060"/>
          <w:sz w:val="21"/>
          <w:szCs w:val="21"/>
        </w:rPr>
        <w:t>Role of Family Medicine</w:t>
      </w:r>
    </w:p>
    <w:p w14:paraId="159E3C28" w14:textId="77777777" w:rsidR="00C9060A" w:rsidRDefault="00C9060A" w:rsidP="00C9060A">
      <w:pPr>
        <w:pStyle w:val="ListParagraph"/>
        <w:numPr>
          <w:ilvl w:val="0"/>
          <w:numId w:val="4"/>
        </w:numPr>
        <w:spacing w:before="75" w:after="75" w:line="300" w:lineRule="atLeast"/>
        <w:rPr>
          <w:rFonts w:ascii="Arial" w:eastAsia="Times New Roman" w:hAnsi="Arial" w:cs="Arial"/>
          <w:bCs/>
          <w:color w:val="606060"/>
          <w:sz w:val="21"/>
          <w:szCs w:val="21"/>
        </w:rPr>
      </w:pPr>
      <w:r w:rsidRPr="00C9060A">
        <w:rPr>
          <w:rFonts w:ascii="Arial" w:eastAsia="Times New Roman" w:hAnsi="Arial" w:cs="Arial"/>
          <w:bCs/>
          <w:color w:val="606060"/>
          <w:sz w:val="21"/>
          <w:szCs w:val="21"/>
        </w:rPr>
        <w:t>Principles of Family Medicine</w:t>
      </w:r>
    </w:p>
    <w:p w14:paraId="72769395" w14:textId="77777777" w:rsidR="00C9060A" w:rsidRPr="00C9060A" w:rsidRDefault="00C9060A" w:rsidP="00C9060A">
      <w:pPr>
        <w:pStyle w:val="ListParagraph"/>
        <w:spacing w:before="75" w:after="75" w:line="300" w:lineRule="atLeast"/>
        <w:rPr>
          <w:rFonts w:ascii="Arial" w:eastAsia="Times New Roman" w:hAnsi="Arial" w:cs="Arial"/>
          <w:bCs/>
          <w:color w:val="606060"/>
          <w:sz w:val="21"/>
          <w:szCs w:val="21"/>
        </w:rPr>
      </w:pPr>
    </w:p>
    <w:p w14:paraId="4A08BF27" w14:textId="77777777" w:rsidR="00C9060A" w:rsidRPr="00C9060A" w:rsidRDefault="00C9060A" w:rsidP="00C9060A">
      <w:pPr>
        <w:spacing w:line="300" w:lineRule="atLeast"/>
        <w:rPr>
          <w:rFonts w:ascii="Arial" w:eastAsia="Times New Roman" w:hAnsi="Arial" w:cs="Arial"/>
          <w:b/>
          <w:bCs/>
          <w:color w:val="606060"/>
          <w:sz w:val="21"/>
          <w:szCs w:val="21"/>
        </w:rPr>
      </w:pPr>
      <w:r w:rsidRPr="00C9060A">
        <w:rPr>
          <w:rFonts w:ascii="Arial" w:eastAsia="Times New Roman" w:hAnsi="Arial" w:cs="Arial"/>
          <w:b/>
          <w:bCs/>
          <w:color w:val="606060"/>
          <w:sz w:val="21"/>
          <w:szCs w:val="21"/>
        </w:rPr>
        <w:t>Author</w:t>
      </w:r>
      <w:r>
        <w:rPr>
          <w:rFonts w:ascii="Arial" w:eastAsia="Times New Roman" w:hAnsi="Arial" w:cs="Arial"/>
          <w:b/>
          <w:bCs/>
          <w:color w:val="606060"/>
          <w:sz w:val="21"/>
          <w:szCs w:val="21"/>
        </w:rPr>
        <w:t xml:space="preserve">: </w:t>
      </w:r>
      <w:r w:rsidRPr="00C9060A">
        <w:rPr>
          <w:rFonts w:ascii="Arial" w:eastAsia="Times New Roman" w:hAnsi="Arial" w:cs="Arial"/>
          <w:b/>
          <w:bCs/>
          <w:color w:val="606060"/>
          <w:sz w:val="21"/>
          <w:szCs w:val="21"/>
        </w:rPr>
        <w:t>Joshua David</w:t>
      </w:r>
      <w:r>
        <w:rPr>
          <w:rFonts w:ascii="Arial" w:eastAsia="Times New Roman" w:hAnsi="Arial" w:cs="Arial"/>
          <w:b/>
          <w:bCs/>
          <w:color w:val="606060"/>
          <w:sz w:val="21"/>
          <w:szCs w:val="21"/>
        </w:rPr>
        <w:t xml:space="preserve"> </w:t>
      </w:r>
      <w:r w:rsidRPr="00C9060A">
        <w:rPr>
          <w:rFonts w:ascii="Arial" w:eastAsia="Times New Roman" w:hAnsi="Arial" w:cs="Arial"/>
          <w:b/>
          <w:bCs/>
          <w:color w:val="606060"/>
          <w:sz w:val="21"/>
          <w:szCs w:val="21"/>
        </w:rPr>
        <w:t>Steinberg,</w:t>
      </w:r>
      <w:r>
        <w:rPr>
          <w:rFonts w:ascii="Arial" w:eastAsia="Times New Roman" w:hAnsi="Arial" w:cs="Arial"/>
          <w:b/>
          <w:bCs/>
          <w:color w:val="606060"/>
          <w:sz w:val="21"/>
          <w:szCs w:val="21"/>
        </w:rPr>
        <w:t xml:space="preserve"> MD</w:t>
      </w:r>
      <w:r>
        <w:rPr>
          <w:rFonts w:ascii="Arial" w:eastAsia="Times New Roman" w:hAnsi="Arial" w:cs="Arial"/>
          <w:b/>
          <w:bCs/>
          <w:color w:val="606060"/>
          <w:sz w:val="21"/>
          <w:szCs w:val="21"/>
        </w:rPr>
        <w:t xml:space="preserve">, </w:t>
      </w:r>
      <w:r w:rsidRPr="00C9060A">
        <w:rPr>
          <w:rFonts w:ascii="Arial" w:eastAsia="Times New Roman" w:hAnsi="Arial" w:cs="Arial"/>
          <w:color w:val="606060"/>
          <w:sz w:val="21"/>
          <w:szCs w:val="21"/>
        </w:rPr>
        <w:t>UHS-Wilson Family Practice Residency, Family Medicine</w:t>
      </w:r>
    </w:p>
    <w:p w14:paraId="4C9A171B" w14:textId="77777777" w:rsidR="00C9060A" w:rsidRDefault="00C9060A" w:rsidP="00C9060A">
      <w:pPr>
        <w:shd w:val="clear" w:color="auto" w:fill="FFFFFF"/>
        <w:rPr>
          <w:rFonts w:ascii="Arial" w:eastAsia="Times New Roman" w:hAnsi="Arial" w:cs="Arial"/>
          <w:b/>
          <w:color w:val="606060"/>
          <w:sz w:val="21"/>
          <w:szCs w:val="21"/>
        </w:rPr>
      </w:pPr>
    </w:p>
    <w:p w14:paraId="4E753BC7" w14:textId="77777777" w:rsidR="00C9060A" w:rsidRDefault="00C9060A" w:rsidP="00C9060A">
      <w:pPr>
        <w:shd w:val="clear" w:color="auto" w:fill="FFFFFF"/>
        <w:rPr>
          <w:rFonts w:ascii="Arial" w:eastAsia="Times New Roman" w:hAnsi="Arial" w:cs="Arial"/>
          <w:color w:val="606060"/>
          <w:sz w:val="21"/>
          <w:szCs w:val="21"/>
        </w:rPr>
      </w:pPr>
      <w:r w:rsidRPr="00C9060A">
        <w:rPr>
          <w:rFonts w:ascii="Arial" w:eastAsia="Times New Roman" w:hAnsi="Arial" w:cs="Arial"/>
          <w:b/>
          <w:color w:val="606060"/>
          <w:sz w:val="21"/>
          <w:szCs w:val="21"/>
        </w:rPr>
        <w:t>Disclosure:</w:t>
      </w:r>
      <w:r>
        <w:rPr>
          <w:rFonts w:ascii="Arial" w:eastAsia="Times New Roman" w:hAnsi="Arial" w:cs="Arial"/>
          <w:color w:val="606060"/>
          <w:sz w:val="21"/>
          <w:szCs w:val="21"/>
        </w:rPr>
        <w:t xml:space="preserve"> Nothing to Disclose</w:t>
      </w:r>
    </w:p>
    <w:p w14:paraId="02831A63" w14:textId="77777777" w:rsidR="00C9060A" w:rsidRDefault="00C9060A" w:rsidP="00C9060A">
      <w:pPr>
        <w:shd w:val="clear" w:color="auto" w:fill="FFFFFF"/>
        <w:rPr>
          <w:rFonts w:ascii="Arial" w:eastAsia="Times New Roman" w:hAnsi="Arial" w:cs="Arial"/>
          <w:color w:val="606060"/>
          <w:sz w:val="21"/>
          <w:szCs w:val="21"/>
        </w:rPr>
      </w:pPr>
    </w:p>
    <w:p w14:paraId="7A97FA50" w14:textId="77777777" w:rsidR="00C9060A" w:rsidRDefault="00C9060A" w:rsidP="00C9060A">
      <w:pPr>
        <w:shd w:val="clear" w:color="auto" w:fill="FFFFFF"/>
        <w:rPr>
          <w:rFonts w:ascii="Arial" w:hAnsi="Arial" w:cs="Arial"/>
          <w:color w:val="606060"/>
          <w:sz w:val="21"/>
          <w:szCs w:val="21"/>
        </w:rPr>
      </w:pPr>
      <w:r w:rsidRPr="00C9060A">
        <w:rPr>
          <w:rFonts w:ascii="Arial" w:eastAsia="Times New Roman" w:hAnsi="Arial" w:cs="Arial"/>
          <w:b/>
          <w:bCs/>
          <w:color w:val="606060"/>
          <w:sz w:val="21"/>
          <w:szCs w:val="21"/>
        </w:rPr>
        <w:t>Clerkship Structure</w:t>
      </w:r>
      <w:r>
        <w:rPr>
          <w:rFonts w:ascii="Arial" w:eastAsia="Times New Roman" w:hAnsi="Arial" w:cs="Arial"/>
          <w:b/>
          <w:bCs/>
          <w:color w:val="606060"/>
          <w:sz w:val="21"/>
          <w:szCs w:val="21"/>
        </w:rPr>
        <w:t xml:space="preserve">: </w:t>
      </w:r>
      <w:r w:rsidRPr="00C9060A">
        <w:rPr>
          <w:rFonts w:ascii="Arial" w:hAnsi="Arial" w:cs="Arial"/>
          <w:color w:val="606060"/>
          <w:sz w:val="21"/>
          <w:szCs w:val="21"/>
        </w:rPr>
        <w:t>one half day per week in continuity with same family physician for 10 months in urban, suburban, and rural settings, appx. 40 students per year, family medicine clerkship is required in MS-3 year</w:t>
      </w:r>
    </w:p>
    <w:p w14:paraId="336AD1AA" w14:textId="77777777" w:rsidR="00C9060A" w:rsidRDefault="00C9060A" w:rsidP="00C9060A">
      <w:pPr>
        <w:shd w:val="clear" w:color="auto" w:fill="FFFFFF"/>
        <w:rPr>
          <w:rFonts w:ascii="Arial" w:hAnsi="Arial" w:cs="Arial"/>
          <w:color w:val="606060"/>
          <w:sz w:val="21"/>
          <w:szCs w:val="21"/>
        </w:rPr>
      </w:pPr>
    </w:p>
    <w:p w14:paraId="23FA483E" w14:textId="77777777" w:rsidR="00C9060A" w:rsidRDefault="00C9060A" w:rsidP="00C9060A">
      <w:pPr>
        <w:shd w:val="clear" w:color="auto" w:fill="FFFFFF"/>
        <w:rPr>
          <w:rFonts w:ascii="Arial" w:hAnsi="Arial" w:cs="Arial"/>
          <w:color w:val="606060"/>
          <w:sz w:val="21"/>
          <w:szCs w:val="21"/>
        </w:rPr>
      </w:pPr>
      <w:r w:rsidRPr="00C9060A">
        <w:rPr>
          <w:rFonts w:ascii="Arial" w:eastAsia="Times New Roman" w:hAnsi="Arial" w:cs="Arial"/>
          <w:b/>
          <w:bCs/>
          <w:color w:val="606060"/>
          <w:sz w:val="21"/>
          <w:szCs w:val="21"/>
        </w:rPr>
        <w:t>National Clerkship Curriculum Objectives Addressed</w:t>
      </w:r>
      <w:r w:rsidRPr="00C9060A">
        <w:rPr>
          <w:rFonts w:ascii="Arial" w:eastAsia="Times New Roman" w:hAnsi="Arial" w:cs="Arial"/>
          <w:b/>
          <w:bCs/>
          <w:color w:val="606060"/>
          <w:sz w:val="21"/>
          <w:szCs w:val="21"/>
        </w:rPr>
        <w:t>:</w:t>
      </w:r>
    </w:p>
    <w:p w14:paraId="53B23210" w14:textId="77777777" w:rsidR="00C9060A" w:rsidRPr="00C9060A" w:rsidRDefault="00C9060A" w:rsidP="00C9060A">
      <w:pPr>
        <w:pStyle w:val="ListParagraph"/>
        <w:numPr>
          <w:ilvl w:val="0"/>
          <w:numId w:val="3"/>
        </w:numPr>
        <w:shd w:val="clear" w:color="auto" w:fill="FFFFFF"/>
        <w:rPr>
          <w:rFonts w:ascii="Arial" w:eastAsia="Times New Roman" w:hAnsi="Arial" w:cs="Arial"/>
          <w:color w:val="606060"/>
          <w:sz w:val="21"/>
          <w:szCs w:val="21"/>
        </w:rPr>
      </w:pPr>
      <w:r w:rsidRPr="00C9060A">
        <w:rPr>
          <w:rFonts w:ascii="Arial" w:hAnsi="Arial" w:cs="Arial"/>
          <w:color w:val="606060"/>
          <w:sz w:val="21"/>
          <w:szCs w:val="21"/>
        </w:rPr>
        <w:t>Develop evidence-based health promotion/disease prevention plans for p</w:t>
      </w:r>
      <w:r w:rsidRPr="00C9060A">
        <w:rPr>
          <w:rFonts w:ascii="Arial" w:hAnsi="Arial" w:cs="Arial"/>
          <w:color w:val="606060"/>
          <w:sz w:val="21"/>
          <w:szCs w:val="21"/>
        </w:rPr>
        <w:t>atients of any age or gender. </w:t>
      </w:r>
      <w:r w:rsidRPr="00C9060A">
        <w:rPr>
          <w:rFonts w:ascii="Arial" w:hAnsi="Arial" w:cs="Arial"/>
          <w:color w:val="606060"/>
          <w:sz w:val="21"/>
          <w:szCs w:val="21"/>
        </w:rPr>
        <w:br/>
      </w:r>
      <w:r w:rsidRPr="00C9060A">
        <w:rPr>
          <w:rFonts w:ascii="Arial" w:hAnsi="Arial" w:cs="Arial"/>
          <w:color w:val="606060"/>
          <w:sz w:val="21"/>
          <w:szCs w:val="21"/>
        </w:rPr>
        <w:t>Discuss the critical role of family physicians within any health care system. </w:t>
      </w:r>
    </w:p>
    <w:p w14:paraId="76376AD9" w14:textId="77777777" w:rsidR="00C9060A" w:rsidRDefault="00C9060A" w:rsidP="00C9060A">
      <w:pPr>
        <w:shd w:val="clear" w:color="auto" w:fill="FFFFFF"/>
        <w:rPr>
          <w:rFonts w:ascii="Arial" w:eastAsia="Times New Roman" w:hAnsi="Arial" w:cs="Arial"/>
          <w:color w:val="606060"/>
          <w:sz w:val="21"/>
          <w:szCs w:val="21"/>
        </w:rPr>
      </w:pPr>
      <w:r w:rsidRPr="00C9060A">
        <w:rPr>
          <w:rFonts w:ascii="Arial" w:eastAsia="Times New Roman" w:hAnsi="Arial" w:cs="Arial"/>
          <w:color w:val="606060"/>
          <w:sz w:val="21"/>
          <w:szCs w:val="21"/>
        </w:rPr>
        <w:t> </w:t>
      </w:r>
    </w:p>
    <w:p w14:paraId="470AFB45" w14:textId="77777777" w:rsidR="00C9060A" w:rsidRDefault="00C9060A" w:rsidP="00C9060A">
      <w:pPr>
        <w:shd w:val="clear" w:color="auto" w:fill="FFFFFF"/>
        <w:rPr>
          <w:rFonts w:ascii="Arial" w:eastAsia="Times New Roman" w:hAnsi="Arial" w:cs="Arial"/>
          <w:b/>
          <w:bCs/>
          <w:color w:val="606060"/>
          <w:sz w:val="21"/>
          <w:szCs w:val="21"/>
        </w:rPr>
      </w:pPr>
      <w:r w:rsidRPr="00C9060A">
        <w:rPr>
          <w:rFonts w:ascii="Arial" w:eastAsia="Times New Roman" w:hAnsi="Arial" w:cs="Arial"/>
          <w:b/>
          <w:bCs/>
          <w:color w:val="606060"/>
          <w:sz w:val="21"/>
          <w:szCs w:val="21"/>
        </w:rPr>
        <w:t>Association of American Medical Colleges Entrustable Professional Activities Addressed</w:t>
      </w:r>
      <w:r>
        <w:rPr>
          <w:rFonts w:ascii="Arial" w:eastAsia="Times New Roman" w:hAnsi="Arial" w:cs="Arial"/>
          <w:b/>
          <w:bCs/>
          <w:color w:val="606060"/>
          <w:sz w:val="21"/>
          <w:szCs w:val="21"/>
        </w:rPr>
        <w:t>\</w:t>
      </w:r>
    </w:p>
    <w:p w14:paraId="0B566A66" w14:textId="77777777" w:rsidR="00C9060A" w:rsidRPr="00C9060A" w:rsidRDefault="00C9060A" w:rsidP="00C9060A">
      <w:pPr>
        <w:pStyle w:val="ListParagraph"/>
        <w:numPr>
          <w:ilvl w:val="0"/>
          <w:numId w:val="3"/>
        </w:numPr>
        <w:shd w:val="clear" w:color="auto" w:fill="FFFFFF"/>
        <w:rPr>
          <w:rFonts w:ascii="Arial" w:eastAsia="Times New Roman" w:hAnsi="Arial" w:cs="Arial"/>
          <w:color w:val="606060"/>
          <w:sz w:val="21"/>
          <w:szCs w:val="21"/>
        </w:rPr>
      </w:pPr>
      <w:r w:rsidRPr="00C9060A">
        <w:rPr>
          <w:rFonts w:ascii="Arial" w:hAnsi="Arial" w:cs="Arial"/>
          <w:color w:val="606060"/>
          <w:sz w:val="21"/>
          <w:szCs w:val="21"/>
        </w:rPr>
        <w:t>EPA 1: Gather a histo</w:t>
      </w:r>
      <w:r>
        <w:rPr>
          <w:rFonts w:ascii="Arial" w:hAnsi="Arial" w:cs="Arial"/>
          <w:color w:val="606060"/>
          <w:sz w:val="21"/>
          <w:szCs w:val="21"/>
        </w:rPr>
        <w:t>ry and perform a physical exam </w:t>
      </w:r>
    </w:p>
    <w:p w14:paraId="0D3C86DA" w14:textId="77777777" w:rsidR="00C9060A" w:rsidRPr="00C9060A" w:rsidRDefault="00C9060A" w:rsidP="00C9060A">
      <w:pPr>
        <w:pStyle w:val="ListParagraph"/>
        <w:numPr>
          <w:ilvl w:val="0"/>
          <w:numId w:val="3"/>
        </w:numPr>
        <w:shd w:val="clear" w:color="auto" w:fill="FFFFFF"/>
        <w:rPr>
          <w:rFonts w:ascii="Arial" w:eastAsia="Times New Roman" w:hAnsi="Arial" w:cs="Arial"/>
          <w:color w:val="606060"/>
          <w:sz w:val="21"/>
          <w:szCs w:val="21"/>
        </w:rPr>
      </w:pPr>
      <w:r w:rsidRPr="00C9060A">
        <w:rPr>
          <w:rFonts w:ascii="Arial" w:hAnsi="Arial" w:cs="Arial"/>
          <w:color w:val="606060"/>
          <w:sz w:val="21"/>
          <w:szCs w:val="21"/>
        </w:rPr>
        <w:t>EPA 3: Recommend and interpret common diagnostic and screening tests</w:t>
      </w:r>
      <w:r>
        <w:rPr>
          <w:rFonts w:ascii="Arial" w:hAnsi="Arial" w:cs="Arial"/>
          <w:color w:val="606060"/>
          <w:sz w:val="21"/>
          <w:szCs w:val="21"/>
        </w:rPr>
        <w:t xml:space="preserve"> (emphasis on screening tests) </w:t>
      </w:r>
    </w:p>
    <w:p w14:paraId="660E0AB9" w14:textId="77777777" w:rsidR="00C9060A" w:rsidRPr="00C9060A" w:rsidRDefault="00C9060A" w:rsidP="00C9060A">
      <w:pPr>
        <w:pStyle w:val="ListParagraph"/>
        <w:numPr>
          <w:ilvl w:val="0"/>
          <w:numId w:val="3"/>
        </w:numPr>
        <w:shd w:val="clear" w:color="auto" w:fill="FFFFFF"/>
        <w:rPr>
          <w:rFonts w:ascii="Arial" w:eastAsia="Times New Roman" w:hAnsi="Arial" w:cs="Arial"/>
          <w:color w:val="606060"/>
          <w:sz w:val="21"/>
          <w:szCs w:val="21"/>
        </w:rPr>
      </w:pPr>
      <w:r w:rsidRPr="00C9060A">
        <w:rPr>
          <w:rFonts w:ascii="Arial" w:hAnsi="Arial" w:cs="Arial"/>
          <w:color w:val="606060"/>
          <w:sz w:val="21"/>
          <w:szCs w:val="21"/>
        </w:rPr>
        <w:t>EPA 4: Enter and discuss orders and prescriptions (i.e. orders for screening tests, prescriptions for vacci</w:t>
      </w:r>
      <w:r>
        <w:rPr>
          <w:rFonts w:ascii="Arial" w:hAnsi="Arial" w:cs="Arial"/>
          <w:color w:val="606060"/>
          <w:sz w:val="21"/>
          <w:szCs w:val="21"/>
        </w:rPr>
        <w:t>nes and other chemprophylaxis) </w:t>
      </w:r>
    </w:p>
    <w:p w14:paraId="7A5DB5AF" w14:textId="6125400A" w:rsidR="00C9060A" w:rsidRPr="00912EC5" w:rsidRDefault="00C9060A" w:rsidP="00C9060A">
      <w:pPr>
        <w:pStyle w:val="ListParagraph"/>
        <w:numPr>
          <w:ilvl w:val="0"/>
          <w:numId w:val="3"/>
        </w:numPr>
        <w:shd w:val="clear" w:color="auto" w:fill="FFFFFF"/>
        <w:rPr>
          <w:rFonts w:ascii="Arial" w:eastAsia="Times New Roman" w:hAnsi="Arial" w:cs="Arial"/>
          <w:color w:val="606060"/>
          <w:sz w:val="21"/>
          <w:szCs w:val="21"/>
        </w:rPr>
      </w:pPr>
      <w:r w:rsidRPr="00C9060A">
        <w:rPr>
          <w:rFonts w:ascii="Arial" w:hAnsi="Arial" w:cs="Arial"/>
          <w:color w:val="606060"/>
          <w:sz w:val="21"/>
          <w:szCs w:val="21"/>
        </w:rPr>
        <w:t>EPA 11: Obtain informed consent for tests and/or procedures (i.e. discuss risks/benefits of prostate cancer or lung cancer screening) </w:t>
      </w:r>
      <w:r w:rsidRPr="00C9060A">
        <w:rPr>
          <w:rFonts w:ascii="Arial" w:eastAsia="Times New Roman" w:hAnsi="Arial" w:cs="Arial"/>
          <w:color w:val="606060"/>
          <w:sz w:val="21"/>
          <w:szCs w:val="21"/>
        </w:rPr>
        <w:br w:type="textWrapping" w:clear="all"/>
        <w:t> </w:t>
      </w:r>
    </w:p>
    <w:p w14:paraId="780FFBAC" w14:textId="77777777" w:rsidR="00C9060A" w:rsidRDefault="00C9060A" w:rsidP="00C9060A">
      <w:pPr>
        <w:shd w:val="clear" w:color="auto" w:fill="FFFFFF"/>
        <w:rPr>
          <w:rFonts w:ascii="Arial" w:eastAsia="Times New Roman" w:hAnsi="Arial" w:cs="Arial"/>
          <w:b/>
          <w:bCs/>
          <w:color w:val="606060"/>
          <w:sz w:val="21"/>
          <w:szCs w:val="21"/>
        </w:rPr>
      </w:pPr>
      <w:r w:rsidRPr="00C9060A">
        <w:rPr>
          <w:rFonts w:ascii="Arial" w:eastAsia="Times New Roman" w:hAnsi="Arial" w:cs="Arial"/>
          <w:b/>
          <w:bCs/>
          <w:color w:val="606060"/>
          <w:sz w:val="21"/>
          <w:szCs w:val="21"/>
        </w:rPr>
        <w:t>Program Content and Educational Methods</w:t>
      </w:r>
      <w:r>
        <w:rPr>
          <w:rFonts w:ascii="Arial" w:eastAsia="Times New Roman" w:hAnsi="Arial" w:cs="Arial"/>
          <w:b/>
          <w:bCs/>
          <w:color w:val="606060"/>
          <w:sz w:val="21"/>
          <w:szCs w:val="21"/>
        </w:rPr>
        <w:t>:</w:t>
      </w:r>
    </w:p>
    <w:p w14:paraId="1836F47E" w14:textId="77777777" w:rsidR="00C9060A" w:rsidRDefault="00C9060A" w:rsidP="00C9060A">
      <w:pPr>
        <w:shd w:val="clear" w:color="auto" w:fill="FFFFFF"/>
        <w:rPr>
          <w:rFonts w:ascii="Arial" w:hAnsi="Arial" w:cs="Arial"/>
          <w:color w:val="606060"/>
          <w:sz w:val="21"/>
          <w:szCs w:val="21"/>
        </w:rPr>
      </w:pPr>
      <w:r w:rsidRPr="00C9060A">
        <w:rPr>
          <w:rFonts w:ascii="Arial" w:hAnsi="Arial" w:cs="Arial"/>
          <w:color w:val="606060"/>
          <w:sz w:val="21"/>
          <w:szCs w:val="21"/>
        </w:rPr>
        <w:t xml:space="preserve">Interactive didactic powerpoint is the main educational activity, taking roughly 60 minutes. This is best timed after students have begun clerkships, seen a few health maintenance visits (adult physicals, pediatric well child checkups) and discovered that they have no cohesive notion about </w:t>
      </w:r>
      <w:r w:rsidRPr="00C9060A">
        <w:rPr>
          <w:rFonts w:ascii="Arial" w:hAnsi="Arial" w:cs="Arial"/>
          <w:color w:val="606060"/>
          <w:sz w:val="21"/>
          <w:szCs w:val="21"/>
        </w:rPr>
        <w:lastRenderedPageBreak/>
        <w:t>how to do these visits. The take home reminder/retention tool helps students implement knowledge at point of care in subsequent health maintenance visits. Each such visit should be a teachable moment when the attending physician reviews and emphasizes the content organized in the curriculum’s scheme. The evaluation sheet permits clinical competency examination observed</w:t>
      </w:r>
      <w:r>
        <w:rPr>
          <w:rFonts w:ascii="Arial" w:hAnsi="Arial" w:cs="Arial"/>
          <w:color w:val="606060"/>
          <w:sz w:val="21"/>
          <w:szCs w:val="21"/>
        </w:rPr>
        <w:t>.</w:t>
      </w:r>
    </w:p>
    <w:p w14:paraId="0F4E34C2" w14:textId="77777777" w:rsidR="00C9060A" w:rsidRDefault="00C9060A" w:rsidP="00C9060A">
      <w:pPr>
        <w:shd w:val="clear" w:color="auto" w:fill="FFFFFF"/>
        <w:rPr>
          <w:rFonts w:ascii="Arial" w:hAnsi="Arial" w:cs="Arial"/>
          <w:color w:val="606060"/>
          <w:sz w:val="21"/>
          <w:szCs w:val="21"/>
        </w:rPr>
      </w:pPr>
    </w:p>
    <w:p w14:paraId="464AA5AE" w14:textId="77777777" w:rsidR="00C9060A" w:rsidRPr="00C9060A" w:rsidRDefault="00C9060A" w:rsidP="00C9060A">
      <w:pPr>
        <w:shd w:val="clear" w:color="auto" w:fill="FFFFFF"/>
        <w:rPr>
          <w:rFonts w:ascii="Arial" w:hAnsi="Arial" w:cs="Arial"/>
          <w:b/>
          <w:color w:val="606060"/>
          <w:sz w:val="21"/>
          <w:szCs w:val="21"/>
        </w:rPr>
      </w:pPr>
      <w:r w:rsidRPr="00C9060A">
        <w:rPr>
          <w:rFonts w:ascii="Arial" w:hAnsi="Arial" w:cs="Arial"/>
          <w:b/>
          <w:color w:val="606060"/>
          <w:sz w:val="21"/>
          <w:szCs w:val="21"/>
        </w:rPr>
        <w:t xml:space="preserve">Educational Methods used in accordance with the National Clerkship Curriculum </w:t>
      </w:r>
    </w:p>
    <w:p w14:paraId="38C2EEAF" w14:textId="77777777" w:rsidR="00C9060A" w:rsidRPr="00C9060A" w:rsidRDefault="00C9060A" w:rsidP="00C9060A">
      <w:pPr>
        <w:pStyle w:val="ListParagraph"/>
        <w:numPr>
          <w:ilvl w:val="0"/>
          <w:numId w:val="5"/>
        </w:numPr>
        <w:shd w:val="clear" w:color="auto" w:fill="FFFFFF"/>
        <w:rPr>
          <w:rFonts w:ascii="Arial" w:hAnsi="Arial" w:cs="Arial"/>
          <w:color w:val="606060"/>
          <w:sz w:val="21"/>
          <w:szCs w:val="21"/>
        </w:rPr>
      </w:pPr>
      <w:r w:rsidRPr="00C9060A">
        <w:rPr>
          <w:rFonts w:ascii="Arial" w:hAnsi="Arial" w:cs="Arial"/>
          <w:color w:val="606060"/>
          <w:sz w:val="21"/>
          <w:szCs w:val="21"/>
        </w:rPr>
        <w:t>Experiential Learning</w:t>
      </w:r>
    </w:p>
    <w:p w14:paraId="294B8DB0" w14:textId="77777777" w:rsidR="00C9060A" w:rsidRPr="00C9060A" w:rsidRDefault="00C9060A" w:rsidP="00C9060A">
      <w:pPr>
        <w:pStyle w:val="ListParagraph"/>
        <w:numPr>
          <w:ilvl w:val="0"/>
          <w:numId w:val="5"/>
        </w:numPr>
        <w:shd w:val="clear" w:color="auto" w:fill="FFFFFF"/>
        <w:rPr>
          <w:rFonts w:ascii="Arial" w:hAnsi="Arial" w:cs="Arial"/>
          <w:color w:val="606060"/>
          <w:sz w:val="21"/>
          <w:szCs w:val="21"/>
        </w:rPr>
      </w:pPr>
      <w:r w:rsidRPr="00C9060A">
        <w:rPr>
          <w:rFonts w:ascii="Arial" w:hAnsi="Arial" w:cs="Arial"/>
          <w:color w:val="606060"/>
          <w:sz w:val="21"/>
          <w:szCs w:val="21"/>
        </w:rPr>
        <w:t>Simulation/Standardized Patients</w:t>
      </w:r>
    </w:p>
    <w:p w14:paraId="528751CF" w14:textId="77777777" w:rsidR="00C9060A" w:rsidRDefault="00C9060A" w:rsidP="00C9060A">
      <w:pPr>
        <w:shd w:val="clear" w:color="auto" w:fill="FFFFFF"/>
        <w:rPr>
          <w:rFonts w:ascii="Arial" w:hAnsi="Arial" w:cs="Arial"/>
          <w:color w:val="606060"/>
          <w:sz w:val="21"/>
          <w:szCs w:val="21"/>
        </w:rPr>
      </w:pPr>
    </w:p>
    <w:p w14:paraId="2C5A46DF" w14:textId="77777777" w:rsidR="00C9060A" w:rsidRPr="00C9060A" w:rsidRDefault="00C9060A" w:rsidP="00C9060A">
      <w:pPr>
        <w:shd w:val="clear" w:color="auto" w:fill="FFFFFF"/>
        <w:rPr>
          <w:rFonts w:ascii="Arial" w:eastAsia="Times New Roman" w:hAnsi="Arial" w:cs="Arial"/>
          <w:color w:val="606060"/>
          <w:sz w:val="21"/>
          <w:szCs w:val="21"/>
        </w:rPr>
      </w:pPr>
      <w:r w:rsidRPr="00C9060A">
        <w:rPr>
          <w:rFonts w:ascii="Arial" w:eastAsia="Times New Roman" w:hAnsi="Arial" w:cs="Arial"/>
          <w:b/>
          <w:bCs/>
          <w:color w:val="606060"/>
          <w:sz w:val="21"/>
          <w:szCs w:val="21"/>
        </w:rPr>
        <w:t>Assessment Strategies to achieve outcomes</w:t>
      </w:r>
    </w:p>
    <w:p w14:paraId="1E5D963B" w14:textId="77777777" w:rsidR="00C9060A" w:rsidRDefault="00C9060A" w:rsidP="00C9060A">
      <w:pPr>
        <w:shd w:val="clear" w:color="auto" w:fill="FFFFFF"/>
        <w:rPr>
          <w:rFonts w:ascii="Arial" w:eastAsia="Times New Roman" w:hAnsi="Arial" w:cs="Arial"/>
          <w:color w:val="606060"/>
          <w:sz w:val="21"/>
          <w:szCs w:val="21"/>
        </w:rPr>
      </w:pPr>
      <w:r w:rsidRPr="00C9060A">
        <w:rPr>
          <w:rFonts w:ascii="Arial" w:hAnsi="Arial" w:cs="Arial"/>
          <w:color w:val="606060"/>
          <w:sz w:val="21"/>
          <w:szCs w:val="21"/>
        </w:rPr>
        <w:t>The evaluation form provided permits an observer to identify which behaviors the student recalls and performs during a health maintenance visit. The expected behaviors will vary slightly depending on whether the health maintenance visit patient is a child, adult, or pregnant woman, but the general plans and themes should be the same.</w:t>
      </w:r>
      <w:r w:rsidRPr="00C9060A">
        <w:rPr>
          <w:rFonts w:ascii="Arial" w:eastAsia="Times New Roman" w:hAnsi="Arial" w:cs="Arial"/>
          <w:color w:val="606060"/>
          <w:sz w:val="21"/>
          <w:szCs w:val="21"/>
        </w:rPr>
        <w:t> </w:t>
      </w:r>
      <w:r w:rsidRPr="00C9060A">
        <w:rPr>
          <w:rFonts w:ascii="Arial" w:eastAsia="Times New Roman" w:hAnsi="Arial" w:cs="Arial"/>
          <w:color w:val="606060"/>
          <w:sz w:val="21"/>
          <w:szCs w:val="21"/>
        </w:rPr>
        <w:br w:type="textWrapping" w:clear="all"/>
        <w:t> </w:t>
      </w:r>
    </w:p>
    <w:p w14:paraId="07591846" w14:textId="77777777" w:rsidR="00C9060A" w:rsidRPr="00C9060A" w:rsidRDefault="00C9060A" w:rsidP="00C9060A">
      <w:pPr>
        <w:shd w:val="clear" w:color="auto" w:fill="FFFFFF"/>
        <w:rPr>
          <w:rFonts w:ascii="Arial" w:hAnsi="Arial" w:cs="Arial"/>
          <w:b/>
          <w:color w:val="606060"/>
          <w:sz w:val="21"/>
          <w:szCs w:val="21"/>
        </w:rPr>
      </w:pPr>
      <w:r w:rsidRPr="00C9060A">
        <w:rPr>
          <w:rFonts w:ascii="Arial" w:hAnsi="Arial" w:cs="Arial"/>
          <w:b/>
          <w:color w:val="606060"/>
          <w:sz w:val="21"/>
          <w:szCs w:val="21"/>
        </w:rPr>
        <w:t xml:space="preserve">Educational Methods used in accordance with the National Clerkship Curriculum </w:t>
      </w:r>
    </w:p>
    <w:p w14:paraId="0004E9CF" w14:textId="77777777" w:rsidR="00C9060A" w:rsidRDefault="00594FA5" w:rsidP="00C9060A">
      <w:pPr>
        <w:shd w:val="clear" w:color="auto" w:fill="FFFFFF"/>
        <w:rPr>
          <w:rFonts w:ascii="Arial" w:hAnsi="Arial" w:cs="Arial"/>
          <w:color w:val="606060"/>
          <w:sz w:val="21"/>
          <w:szCs w:val="21"/>
        </w:rPr>
      </w:pPr>
      <w:r w:rsidRPr="00C9060A">
        <w:rPr>
          <w:rFonts w:ascii="Arial" w:hAnsi="Arial" w:cs="Arial"/>
          <w:color w:val="606060"/>
          <w:sz w:val="21"/>
          <w:szCs w:val="21"/>
        </w:rPr>
        <w:t>Student Assessment &amp; Evaluation</w:t>
      </w:r>
    </w:p>
    <w:p w14:paraId="578A5C66" w14:textId="77777777" w:rsidR="00594FA5" w:rsidRDefault="00594FA5" w:rsidP="00C9060A">
      <w:pPr>
        <w:shd w:val="clear" w:color="auto" w:fill="FFFFFF"/>
        <w:rPr>
          <w:rFonts w:ascii="Arial" w:hAnsi="Arial" w:cs="Arial"/>
          <w:color w:val="606060"/>
          <w:sz w:val="21"/>
          <w:szCs w:val="21"/>
        </w:rPr>
      </w:pPr>
    </w:p>
    <w:p w14:paraId="7207A9B7" w14:textId="77777777" w:rsidR="00594FA5" w:rsidRDefault="00594FA5" w:rsidP="00C9060A">
      <w:pPr>
        <w:shd w:val="clear" w:color="auto" w:fill="FFFFFF"/>
        <w:rPr>
          <w:rFonts w:ascii="Arial" w:hAnsi="Arial" w:cs="Arial"/>
          <w:color w:val="606060"/>
          <w:sz w:val="21"/>
          <w:szCs w:val="21"/>
        </w:rPr>
      </w:pPr>
      <w:r w:rsidRPr="00C9060A">
        <w:rPr>
          <w:rFonts w:ascii="Arial" w:eastAsia="Times New Roman" w:hAnsi="Arial" w:cs="Arial"/>
          <w:b/>
          <w:bCs/>
          <w:color w:val="606060"/>
          <w:sz w:val="21"/>
          <w:szCs w:val="21"/>
        </w:rPr>
        <w:t>Lessons Learned</w:t>
      </w:r>
    </w:p>
    <w:p w14:paraId="2B06D86E" w14:textId="77777777" w:rsidR="00594FA5" w:rsidRPr="00594FA5" w:rsidRDefault="00594FA5" w:rsidP="00594FA5">
      <w:pPr>
        <w:pStyle w:val="ListParagraph"/>
        <w:numPr>
          <w:ilvl w:val="0"/>
          <w:numId w:val="7"/>
        </w:numPr>
        <w:shd w:val="clear" w:color="auto" w:fill="FFFFFF"/>
        <w:rPr>
          <w:rFonts w:ascii="Arial" w:eastAsia="Times New Roman" w:hAnsi="Arial" w:cs="Arial"/>
          <w:color w:val="606060"/>
          <w:sz w:val="21"/>
          <w:szCs w:val="21"/>
        </w:rPr>
      </w:pPr>
      <w:r w:rsidRPr="00594FA5">
        <w:rPr>
          <w:rFonts w:ascii="Arial" w:hAnsi="Arial" w:cs="Arial"/>
          <w:color w:val="606060"/>
          <w:sz w:val="21"/>
          <w:szCs w:val="21"/>
        </w:rPr>
        <w:t>Repetition is key. A dynamic lecture is a great starting point. But it does not stick and produce capable students unless the themes of screening, health counseling, and chemoprophylaxis are reviewed with every subsequent health maintenance visit. Because rep</w:t>
      </w:r>
      <w:r>
        <w:rPr>
          <w:rFonts w:ascii="Arial" w:hAnsi="Arial" w:cs="Arial"/>
          <w:color w:val="606060"/>
          <w:sz w:val="21"/>
          <w:szCs w:val="21"/>
        </w:rPr>
        <w:t>etition is key. </w:t>
      </w:r>
    </w:p>
    <w:p w14:paraId="40A9ACAF" w14:textId="77777777" w:rsidR="00594FA5" w:rsidRPr="00594FA5" w:rsidRDefault="00594FA5" w:rsidP="00594FA5">
      <w:pPr>
        <w:pStyle w:val="ListParagraph"/>
        <w:numPr>
          <w:ilvl w:val="0"/>
          <w:numId w:val="7"/>
        </w:numPr>
        <w:shd w:val="clear" w:color="auto" w:fill="FFFFFF"/>
        <w:rPr>
          <w:rFonts w:ascii="Arial" w:eastAsia="Times New Roman" w:hAnsi="Arial" w:cs="Arial"/>
          <w:color w:val="606060"/>
          <w:sz w:val="21"/>
          <w:szCs w:val="21"/>
        </w:rPr>
      </w:pPr>
      <w:r w:rsidRPr="00594FA5">
        <w:rPr>
          <w:rFonts w:ascii="Arial" w:hAnsi="Arial" w:cs="Arial"/>
          <w:color w:val="606060"/>
          <w:sz w:val="21"/>
          <w:szCs w:val="21"/>
        </w:rPr>
        <w:t>The quick-reference app has permitted big improvements in our learners. Once they realize that they will be expected to know the big scheme of screening, health counseling, and chemoprophylaxis, they go to the app to refresh their memory on the content so as to be able to do more in a visit a</w:t>
      </w:r>
      <w:r>
        <w:rPr>
          <w:rFonts w:ascii="Arial" w:hAnsi="Arial" w:cs="Arial"/>
          <w:color w:val="606060"/>
          <w:sz w:val="21"/>
          <w:szCs w:val="21"/>
        </w:rPr>
        <w:t>nd impress their preceptor. </w:t>
      </w:r>
    </w:p>
    <w:p w14:paraId="48527C4E" w14:textId="77777777" w:rsidR="00C9060A" w:rsidRPr="00DB5A3B" w:rsidRDefault="00594FA5" w:rsidP="00594FA5">
      <w:pPr>
        <w:pStyle w:val="ListParagraph"/>
        <w:numPr>
          <w:ilvl w:val="0"/>
          <w:numId w:val="7"/>
        </w:numPr>
        <w:shd w:val="clear" w:color="auto" w:fill="FFFFFF"/>
        <w:rPr>
          <w:rFonts w:ascii="Arial" w:eastAsia="Times New Roman" w:hAnsi="Arial" w:cs="Arial"/>
          <w:color w:val="606060"/>
          <w:sz w:val="21"/>
          <w:szCs w:val="21"/>
        </w:rPr>
      </w:pPr>
      <w:r w:rsidRPr="00594FA5">
        <w:rPr>
          <w:rFonts w:ascii="Arial" w:hAnsi="Arial" w:cs="Arial"/>
          <w:color w:val="606060"/>
          <w:sz w:val="21"/>
          <w:szCs w:val="21"/>
        </w:rPr>
        <w:t>An ongoing barrier is that other primary care, prevention-oriented clerkships have not actively adopted this curriculum’s scheme for health maintenance. If they did, every student would hear the same approach repeated across all health maintenance encounters (medicine, peds, OB, family medicine), and that would help the students believing</w:t>
      </w:r>
    </w:p>
    <w:p w14:paraId="1F77A829" w14:textId="77777777" w:rsidR="00DB5A3B" w:rsidRPr="00DB5A3B" w:rsidRDefault="00DB5A3B" w:rsidP="00DB5A3B">
      <w:pPr>
        <w:shd w:val="clear" w:color="auto" w:fill="FFFFFF"/>
        <w:ind w:left="60"/>
        <w:rPr>
          <w:rFonts w:ascii="Arial" w:eastAsia="Times New Roman" w:hAnsi="Arial" w:cs="Arial"/>
          <w:color w:val="606060"/>
          <w:sz w:val="21"/>
          <w:szCs w:val="21"/>
        </w:rPr>
      </w:pPr>
    </w:p>
    <w:p w14:paraId="4C7AEEFB" w14:textId="77777777" w:rsidR="00594FA5" w:rsidRDefault="00C9060A" w:rsidP="00C9060A">
      <w:pPr>
        <w:shd w:val="clear" w:color="auto" w:fill="FFFFFF"/>
        <w:rPr>
          <w:rFonts w:ascii="Arial" w:eastAsia="Times New Roman" w:hAnsi="Arial" w:cs="Arial"/>
          <w:color w:val="606060"/>
          <w:sz w:val="21"/>
          <w:szCs w:val="21"/>
        </w:rPr>
      </w:pPr>
      <w:r w:rsidRPr="00C9060A">
        <w:rPr>
          <w:rFonts w:ascii="Arial" w:eastAsia="Times New Roman" w:hAnsi="Arial" w:cs="Arial"/>
          <w:color w:val="606060"/>
          <w:sz w:val="21"/>
          <w:szCs w:val="21"/>
        </w:rPr>
        <w:t> </w:t>
      </w:r>
    </w:p>
    <w:p w14:paraId="232EF4F8" w14:textId="77777777" w:rsidR="00594FA5" w:rsidRDefault="00594FA5" w:rsidP="00594FA5">
      <w:pPr>
        <w:shd w:val="clear" w:color="auto" w:fill="FFFFFF"/>
        <w:rPr>
          <w:rFonts w:ascii="Arial" w:eastAsia="Times New Roman" w:hAnsi="Arial" w:cs="Arial"/>
          <w:b/>
          <w:bCs/>
          <w:color w:val="606060"/>
          <w:sz w:val="21"/>
          <w:szCs w:val="21"/>
        </w:rPr>
      </w:pPr>
      <w:r w:rsidRPr="00C9060A">
        <w:rPr>
          <w:rFonts w:ascii="Arial" w:eastAsia="Times New Roman" w:hAnsi="Arial" w:cs="Arial"/>
          <w:b/>
          <w:bCs/>
          <w:color w:val="606060"/>
          <w:sz w:val="21"/>
          <w:szCs w:val="21"/>
        </w:rPr>
        <w:t>Explanation of Appendices</w:t>
      </w:r>
    </w:p>
    <w:p w14:paraId="5B788324" w14:textId="77777777" w:rsidR="00594FA5" w:rsidRPr="00594FA5" w:rsidRDefault="00594FA5" w:rsidP="00594FA5">
      <w:pPr>
        <w:shd w:val="clear" w:color="auto" w:fill="FFFFFF"/>
        <w:rPr>
          <w:rFonts w:ascii="Arial" w:eastAsia="Times New Roman" w:hAnsi="Arial" w:cs="Arial"/>
          <w:bCs/>
          <w:color w:val="606060"/>
          <w:sz w:val="21"/>
          <w:szCs w:val="21"/>
        </w:rPr>
      </w:pPr>
      <w:r w:rsidRPr="00594FA5">
        <w:rPr>
          <w:rFonts w:ascii="Arial" w:eastAsia="Times New Roman" w:hAnsi="Arial" w:cs="Arial"/>
          <w:bCs/>
          <w:color w:val="606060"/>
          <w:sz w:val="21"/>
          <w:szCs w:val="21"/>
        </w:rPr>
        <w:t xml:space="preserve">There are four </w:t>
      </w:r>
      <w:r>
        <w:rPr>
          <w:rFonts w:ascii="Arial" w:hAnsi="Arial" w:cs="Arial"/>
          <w:color w:val="606060"/>
          <w:sz w:val="21"/>
          <w:szCs w:val="21"/>
        </w:rPr>
        <w:t>elements to this curriculum: </w:t>
      </w:r>
    </w:p>
    <w:p w14:paraId="394BECFF" w14:textId="3972870E" w:rsidR="00594FA5" w:rsidRDefault="00594FA5" w:rsidP="00594FA5">
      <w:pPr>
        <w:pStyle w:val="ListParagraph"/>
        <w:numPr>
          <w:ilvl w:val="0"/>
          <w:numId w:val="8"/>
        </w:numPr>
        <w:shd w:val="clear" w:color="auto" w:fill="FFFFFF"/>
        <w:rPr>
          <w:rFonts w:ascii="Arial" w:hAnsi="Arial" w:cs="Arial"/>
          <w:color w:val="606060"/>
          <w:sz w:val="21"/>
          <w:szCs w:val="21"/>
        </w:rPr>
      </w:pPr>
      <w:r w:rsidRPr="00594FA5">
        <w:rPr>
          <w:rFonts w:ascii="Arial" w:hAnsi="Arial" w:cs="Arial"/>
          <w:color w:val="606060"/>
          <w:sz w:val="21"/>
          <w:szCs w:val="21"/>
        </w:rPr>
        <w:t>Appendix A: P</w:t>
      </w:r>
      <w:r w:rsidR="00DB5A3B">
        <w:rPr>
          <w:rFonts w:ascii="Arial" w:hAnsi="Arial" w:cs="Arial"/>
          <w:color w:val="606060"/>
          <w:sz w:val="21"/>
          <w:szCs w:val="21"/>
        </w:rPr>
        <w:t xml:space="preserve">owerpoint </w:t>
      </w:r>
      <w:r w:rsidR="00467AC6">
        <w:rPr>
          <w:rFonts w:ascii="Arial" w:hAnsi="Arial" w:cs="Arial"/>
          <w:color w:val="606060"/>
          <w:sz w:val="21"/>
          <w:szCs w:val="21"/>
        </w:rPr>
        <w:t>"How To d</w:t>
      </w:r>
      <w:r w:rsidRPr="00594FA5">
        <w:rPr>
          <w:rFonts w:ascii="Arial" w:hAnsi="Arial" w:cs="Arial"/>
          <w:color w:val="606060"/>
          <w:sz w:val="21"/>
          <w:szCs w:val="21"/>
        </w:rPr>
        <w:t>o an Excellent</w:t>
      </w:r>
      <w:r>
        <w:rPr>
          <w:rFonts w:ascii="Arial" w:hAnsi="Arial" w:cs="Arial"/>
          <w:color w:val="606060"/>
          <w:sz w:val="21"/>
          <w:szCs w:val="21"/>
        </w:rPr>
        <w:t xml:space="preserve"> Well Child Checkup and More" </w:t>
      </w:r>
    </w:p>
    <w:p w14:paraId="30CFC236" w14:textId="77777777" w:rsidR="00594FA5" w:rsidRDefault="00594FA5" w:rsidP="00594FA5">
      <w:pPr>
        <w:pStyle w:val="ListParagraph"/>
        <w:numPr>
          <w:ilvl w:val="0"/>
          <w:numId w:val="8"/>
        </w:numPr>
        <w:shd w:val="clear" w:color="auto" w:fill="FFFFFF"/>
        <w:rPr>
          <w:rFonts w:ascii="Arial" w:hAnsi="Arial" w:cs="Arial"/>
          <w:color w:val="606060"/>
          <w:sz w:val="21"/>
          <w:szCs w:val="21"/>
        </w:rPr>
      </w:pPr>
      <w:r w:rsidRPr="00594FA5">
        <w:rPr>
          <w:rFonts w:ascii="Arial" w:hAnsi="Arial" w:cs="Arial"/>
          <w:color w:val="606060"/>
          <w:sz w:val="21"/>
          <w:szCs w:val="21"/>
        </w:rPr>
        <w:t>Appendix B:</w:t>
      </w:r>
      <w:r w:rsidRPr="00594FA5">
        <w:rPr>
          <w:rFonts w:ascii="Arial" w:hAnsi="Arial" w:cs="Arial"/>
          <w:color w:val="606060"/>
          <w:sz w:val="21"/>
          <w:szCs w:val="21"/>
        </w:rPr>
        <w:t xml:space="preserve"> free iPhone point-of-care quick reference app </w:t>
      </w:r>
      <w:r>
        <w:rPr>
          <w:rFonts w:ascii="Arial" w:hAnsi="Arial" w:cs="Arial"/>
          <w:color w:val="606060"/>
          <w:sz w:val="21"/>
          <w:szCs w:val="21"/>
        </w:rPr>
        <w:t>Health Maintenance Checklists </w:t>
      </w:r>
    </w:p>
    <w:p w14:paraId="2D5A67B6" w14:textId="77777777" w:rsidR="00594FA5" w:rsidRDefault="00594FA5" w:rsidP="00594FA5">
      <w:pPr>
        <w:pStyle w:val="ListParagraph"/>
        <w:numPr>
          <w:ilvl w:val="0"/>
          <w:numId w:val="8"/>
        </w:numPr>
        <w:shd w:val="clear" w:color="auto" w:fill="FFFFFF"/>
        <w:rPr>
          <w:rFonts w:ascii="Arial" w:hAnsi="Arial" w:cs="Arial"/>
          <w:color w:val="606060"/>
          <w:sz w:val="21"/>
          <w:szCs w:val="21"/>
        </w:rPr>
      </w:pPr>
      <w:r w:rsidRPr="00594FA5">
        <w:rPr>
          <w:rFonts w:ascii="Arial" w:hAnsi="Arial" w:cs="Arial"/>
          <w:color w:val="606060"/>
          <w:sz w:val="21"/>
          <w:szCs w:val="21"/>
        </w:rPr>
        <w:t xml:space="preserve">Appendix C: </w:t>
      </w:r>
      <w:r w:rsidRPr="00594FA5">
        <w:rPr>
          <w:rFonts w:ascii="Arial" w:hAnsi="Arial" w:cs="Arial"/>
          <w:color w:val="606060"/>
          <w:sz w:val="21"/>
          <w:szCs w:val="21"/>
        </w:rPr>
        <w:t>health maintenance visit encounter evaluation form for format</w:t>
      </w:r>
      <w:r>
        <w:rPr>
          <w:rFonts w:ascii="Arial" w:hAnsi="Arial" w:cs="Arial"/>
          <w:color w:val="606060"/>
          <w:sz w:val="21"/>
          <w:szCs w:val="21"/>
        </w:rPr>
        <w:t>ive and summative feedback</w:t>
      </w:r>
    </w:p>
    <w:p w14:paraId="00497FA5" w14:textId="77777777" w:rsidR="00C9060A" w:rsidRPr="00594FA5" w:rsidRDefault="00594FA5" w:rsidP="00594FA5">
      <w:pPr>
        <w:pStyle w:val="ListParagraph"/>
        <w:numPr>
          <w:ilvl w:val="0"/>
          <w:numId w:val="8"/>
        </w:numPr>
        <w:shd w:val="clear" w:color="auto" w:fill="FFFFFF"/>
        <w:rPr>
          <w:rFonts w:ascii="Arial" w:hAnsi="Arial" w:cs="Arial"/>
          <w:color w:val="606060"/>
          <w:sz w:val="21"/>
          <w:szCs w:val="21"/>
        </w:rPr>
      </w:pPr>
      <w:r w:rsidRPr="00594FA5">
        <w:rPr>
          <w:rFonts w:ascii="Arial" w:hAnsi="Arial" w:cs="Arial"/>
          <w:color w:val="606060"/>
          <w:sz w:val="21"/>
          <w:szCs w:val="21"/>
        </w:rPr>
        <w:t xml:space="preserve">Appendix D: </w:t>
      </w:r>
      <w:r w:rsidRPr="00594FA5">
        <w:rPr>
          <w:rFonts w:ascii="Arial" w:hAnsi="Arial" w:cs="Arial"/>
          <w:color w:val="606060"/>
          <w:sz w:val="21"/>
          <w:szCs w:val="21"/>
        </w:rPr>
        <w:t>how to use materials document</w:t>
      </w:r>
      <w:r w:rsidR="00C9060A" w:rsidRPr="00594FA5">
        <w:rPr>
          <w:rFonts w:ascii="Arial" w:eastAsia="Times New Roman" w:hAnsi="Arial" w:cs="Arial"/>
          <w:color w:val="606060"/>
          <w:sz w:val="21"/>
          <w:szCs w:val="21"/>
        </w:rPr>
        <w:br w:type="textWrapping" w:clear="all"/>
        <w:t> </w:t>
      </w:r>
    </w:p>
    <w:p w14:paraId="1EB29E35" w14:textId="77777777" w:rsidR="00C9060A" w:rsidRDefault="00DB5A3B" w:rsidP="00C9060A">
      <w:pPr>
        <w:shd w:val="clear" w:color="auto" w:fill="FFFFFF"/>
        <w:rPr>
          <w:rFonts w:ascii="Arial" w:eastAsia="Times New Roman" w:hAnsi="Arial" w:cs="Arial"/>
          <w:b/>
          <w:bCs/>
          <w:color w:val="606060"/>
          <w:sz w:val="21"/>
          <w:szCs w:val="21"/>
        </w:rPr>
      </w:pPr>
      <w:r w:rsidRPr="00C9060A">
        <w:rPr>
          <w:rFonts w:ascii="Arial" w:eastAsia="Times New Roman" w:hAnsi="Arial" w:cs="Arial"/>
          <w:b/>
          <w:bCs/>
          <w:color w:val="606060"/>
          <w:sz w:val="21"/>
          <w:szCs w:val="21"/>
        </w:rPr>
        <w:t>References</w:t>
      </w:r>
      <w:r>
        <w:rPr>
          <w:rFonts w:ascii="Arial" w:eastAsia="Times New Roman" w:hAnsi="Arial" w:cs="Arial"/>
          <w:b/>
          <w:bCs/>
          <w:color w:val="606060"/>
          <w:sz w:val="21"/>
          <w:szCs w:val="21"/>
        </w:rPr>
        <w:t>:</w:t>
      </w:r>
    </w:p>
    <w:p w14:paraId="456C12C0" w14:textId="77777777" w:rsidR="00DB5A3B" w:rsidRDefault="00DB5A3B" w:rsidP="00DB5A3B">
      <w:pPr>
        <w:pStyle w:val="ListParagraph"/>
        <w:numPr>
          <w:ilvl w:val="0"/>
          <w:numId w:val="17"/>
        </w:numPr>
        <w:spacing w:before="75" w:after="75" w:line="300" w:lineRule="atLeast"/>
        <w:rPr>
          <w:rFonts w:ascii="Arial" w:hAnsi="Arial" w:cs="Arial"/>
          <w:color w:val="606060"/>
          <w:sz w:val="21"/>
          <w:szCs w:val="21"/>
        </w:rPr>
      </w:pPr>
      <w:r w:rsidRPr="00DB5A3B">
        <w:rPr>
          <w:rFonts w:ascii="Arial" w:hAnsi="Arial" w:cs="Arial"/>
          <w:color w:val="606060"/>
          <w:sz w:val="21"/>
          <w:szCs w:val="21"/>
        </w:rPr>
        <w:t>United States Preventive Services Task Force recommendations (they group their recommendations into screening, health couns</w:t>
      </w:r>
      <w:r>
        <w:rPr>
          <w:rFonts w:ascii="Arial" w:hAnsi="Arial" w:cs="Arial"/>
          <w:color w:val="606060"/>
          <w:sz w:val="21"/>
          <w:szCs w:val="21"/>
        </w:rPr>
        <w:t>elling, and chemoprophylaxis) </w:t>
      </w:r>
    </w:p>
    <w:p w14:paraId="5E181A27" w14:textId="77777777" w:rsidR="00DB5A3B" w:rsidRDefault="00DB5A3B" w:rsidP="00DB5A3B">
      <w:pPr>
        <w:pStyle w:val="ListParagraph"/>
        <w:numPr>
          <w:ilvl w:val="0"/>
          <w:numId w:val="17"/>
        </w:numPr>
        <w:spacing w:before="75" w:after="75" w:line="300" w:lineRule="atLeast"/>
        <w:rPr>
          <w:rFonts w:ascii="Arial" w:hAnsi="Arial" w:cs="Arial"/>
          <w:color w:val="606060"/>
          <w:sz w:val="21"/>
          <w:szCs w:val="21"/>
        </w:rPr>
      </w:pPr>
      <w:r w:rsidRPr="00DB5A3B">
        <w:rPr>
          <w:rFonts w:ascii="Arial" w:hAnsi="Arial" w:cs="Arial"/>
          <w:color w:val="606060"/>
          <w:sz w:val="21"/>
          <w:szCs w:val="21"/>
        </w:rPr>
        <w:t>Prenatal Care Guideline, Institute for</w:t>
      </w:r>
      <w:r>
        <w:rPr>
          <w:rFonts w:ascii="Arial" w:hAnsi="Arial" w:cs="Arial"/>
          <w:color w:val="606060"/>
          <w:sz w:val="21"/>
          <w:szCs w:val="21"/>
        </w:rPr>
        <w:t xml:space="preserve"> Clinical Systems Improvement </w:t>
      </w:r>
    </w:p>
    <w:p w14:paraId="5DB0322B" w14:textId="77777777" w:rsidR="00DB5A3B" w:rsidRDefault="00DB5A3B" w:rsidP="00DB5A3B">
      <w:pPr>
        <w:pStyle w:val="ListParagraph"/>
        <w:numPr>
          <w:ilvl w:val="0"/>
          <w:numId w:val="17"/>
        </w:numPr>
        <w:spacing w:before="75" w:after="75" w:line="300" w:lineRule="atLeast"/>
        <w:rPr>
          <w:rFonts w:ascii="Arial" w:hAnsi="Arial" w:cs="Arial"/>
          <w:color w:val="606060"/>
          <w:sz w:val="21"/>
          <w:szCs w:val="21"/>
        </w:rPr>
      </w:pPr>
      <w:r w:rsidRPr="00DB5A3B">
        <w:rPr>
          <w:rFonts w:ascii="Arial" w:hAnsi="Arial" w:cs="Arial"/>
          <w:color w:val="606060"/>
          <w:sz w:val="21"/>
          <w:szCs w:val="21"/>
        </w:rPr>
        <w:t>Bright Futures pediatric health maintenance guidelines,</w:t>
      </w:r>
      <w:r>
        <w:rPr>
          <w:rFonts w:ascii="Arial" w:hAnsi="Arial" w:cs="Arial"/>
          <w:color w:val="606060"/>
          <w:sz w:val="21"/>
          <w:szCs w:val="21"/>
        </w:rPr>
        <w:t xml:space="preserve"> American Academy of Pediatrics</w:t>
      </w:r>
    </w:p>
    <w:p w14:paraId="4B8179F5" w14:textId="77777777" w:rsidR="00DB5A3B" w:rsidRDefault="00DB5A3B" w:rsidP="00DB5A3B">
      <w:pPr>
        <w:pStyle w:val="ListParagraph"/>
        <w:numPr>
          <w:ilvl w:val="0"/>
          <w:numId w:val="17"/>
        </w:numPr>
        <w:spacing w:before="75" w:after="75" w:line="300" w:lineRule="atLeast"/>
        <w:rPr>
          <w:rFonts w:ascii="Arial" w:hAnsi="Arial" w:cs="Arial"/>
          <w:color w:val="606060"/>
          <w:sz w:val="21"/>
          <w:szCs w:val="21"/>
        </w:rPr>
      </w:pPr>
      <w:r w:rsidRPr="00DB5A3B">
        <w:rPr>
          <w:rFonts w:ascii="Arial" w:hAnsi="Arial" w:cs="Arial"/>
          <w:color w:val="606060"/>
          <w:sz w:val="21"/>
          <w:szCs w:val="21"/>
        </w:rPr>
        <w:t>ACOG Well-Woman Recommendations (in their practice bulletin but most clearly articulated and organized on their website)</w:t>
      </w:r>
    </w:p>
    <w:p w14:paraId="14808D28" w14:textId="6F0D86C0" w:rsidR="00D962D2" w:rsidRPr="00D962D2" w:rsidRDefault="00D962D2" w:rsidP="00D962D2">
      <w:pPr>
        <w:spacing w:before="75" w:after="75" w:line="300" w:lineRule="atLeast"/>
        <w:rPr>
          <w:rFonts w:ascii="Arial" w:hAnsi="Arial" w:cs="Arial"/>
          <w:color w:val="606060"/>
          <w:sz w:val="21"/>
          <w:szCs w:val="21"/>
        </w:rPr>
      </w:pPr>
      <w:r w:rsidRPr="00C9060A">
        <w:rPr>
          <w:rFonts w:ascii="Arial" w:eastAsia="Times New Roman" w:hAnsi="Arial" w:cs="Arial"/>
          <w:b/>
          <w:bCs/>
          <w:color w:val="606060"/>
          <w:sz w:val="21"/>
          <w:szCs w:val="21"/>
        </w:rPr>
        <w:t>Video</w:t>
      </w:r>
      <w:r>
        <w:rPr>
          <w:rFonts w:ascii="Arial" w:eastAsia="Times New Roman" w:hAnsi="Arial" w:cs="Arial"/>
          <w:b/>
          <w:bCs/>
          <w:color w:val="606060"/>
          <w:sz w:val="21"/>
          <w:szCs w:val="21"/>
        </w:rPr>
        <w:t xml:space="preserve">: </w:t>
      </w:r>
      <w:r w:rsidRPr="00C9060A">
        <w:rPr>
          <w:rFonts w:ascii="Arial" w:hAnsi="Arial" w:cs="Arial"/>
          <w:color w:val="606060"/>
          <w:sz w:val="21"/>
          <w:szCs w:val="21"/>
        </w:rPr>
        <w:t>https://www.youtube.com/watch?v=hzHiv0v7qec</w:t>
      </w:r>
    </w:p>
    <w:p w14:paraId="413079C8" w14:textId="74F761F7" w:rsidR="00C9060A" w:rsidRPr="00C9060A" w:rsidRDefault="00C9060A" w:rsidP="00C9060A">
      <w:pPr>
        <w:shd w:val="clear" w:color="auto" w:fill="FFFFFF"/>
        <w:rPr>
          <w:rFonts w:ascii="Arial" w:eastAsia="Times New Roman" w:hAnsi="Arial" w:cs="Arial"/>
          <w:color w:val="606060"/>
          <w:sz w:val="21"/>
          <w:szCs w:val="21"/>
        </w:rPr>
      </w:pPr>
      <w:r w:rsidRPr="00C9060A">
        <w:rPr>
          <w:rFonts w:ascii="Arial" w:eastAsia="Times New Roman" w:hAnsi="Arial" w:cs="Arial"/>
          <w:color w:val="606060"/>
          <w:sz w:val="21"/>
          <w:szCs w:val="21"/>
        </w:rPr>
        <w:t> </w:t>
      </w:r>
      <w:r w:rsidRPr="00C9060A">
        <w:rPr>
          <w:rFonts w:ascii="Arial" w:eastAsia="Times New Roman" w:hAnsi="Arial" w:cs="Arial"/>
          <w:color w:val="606060"/>
          <w:sz w:val="21"/>
          <w:szCs w:val="21"/>
        </w:rPr>
        <w:br w:type="textWrapping" w:clear="all"/>
      </w:r>
      <w:bookmarkStart w:id="0" w:name="_GoBack"/>
      <w:bookmarkEnd w:id="0"/>
    </w:p>
    <w:sectPr w:rsidR="00C9060A" w:rsidRPr="00C9060A" w:rsidSect="00CE5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460D"/>
    <w:multiLevelType w:val="hybridMultilevel"/>
    <w:tmpl w:val="3B743C50"/>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
    <w:nsid w:val="055F4A29"/>
    <w:multiLevelType w:val="hybridMultilevel"/>
    <w:tmpl w:val="A36A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E654C"/>
    <w:multiLevelType w:val="hybridMultilevel"/>
    <w:tmpl w:val="22882D8E"/>
    <w:lvl w:ilvl="0" w:tplc="2A66EC6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2777AD"/>
    <w:multiLevelType w:val="hybridMultilevel"/>
    <w:tmpl w:val="CBB452A8"/>
    <w:lvl w:ilvl="0" w:tplc="F8266BC4">
      <w:start w:val="1"/>
      <w:numFmt w:val="decimal"/>
      <w:lvlText w:val="%1."/>
      <w:lvlJc w:val="left"/>
      <w:pPr>
        <w:ind w:left="420" w:hanging="360"/>
      </w:pPr>
      <w:rPr>
        <w:rFonts w:eastAsiaTheme="minorHAns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1A3C2F12"/>
    <w:multiLevelType w:val="hybridMultilevel"/>
    <w:tmpl w:val="1960F8B6"/>
    <w:lvl w:ilvl="0" w:tplc="2A66EC6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357A1"/>
    <w:multiLevelType w:val="hybridMultilevel"/>
    <w:tmpl w:val="F6F0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0D1C53"/>
    <w:multiLevelType w:val="hybridMultilevel"/>
    <w:tmpl w:val="1F380E2C"/>
    <w:lvl w:ilvl="0" w:tplc="904C51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345734"/>
    <w:multiLevelType w:val="hybridMultilevel"/>
    <w:tmpl w:val="A32E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01FE6"/>
    <w:multiLevelType w:val="hybridMultilevel"/>
    <w:tmpl w:val="0204D6AA"/>
    <w:lvl w:ilvl="0" w:tplc="2A66EC6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B850C1"/>
    <w:multiLevelType w:val="hybridMultilevel"/>
    <w:tmpl w:val="7FDC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50553A"/>
    <w:multiLevelType w:val="hybridMultilevel"/>
    <w:tmpl w:val="B3F0B494"/>
    <w:lvl w:ilvl="0" w:tplc="2A66EC6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8C2C4C"/>
    <w:multiLevelType w:val="multilevel"/>
    <w:tmpl w:val="37088834"/>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2">
    <w:nsid w:val="57366DAA"/>
    <w:multiLevelType w:val="hybridMultilevel"/>
    <w:tmpl w:val="4726F346"/>
    <w:lvl w:ilvl="0" w:tplc="690C4FD6">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0D23CF"/>
    <w:multiLevelType w:val="hybridMultilevel"/>
    <w:tmpl w:val="10248F7A"/>
    <w:lvl w:ilvl="0" w:tplc="2A66EC6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41140E"/>
    <w:multiLevelType w:val="hybridMultilevel"/>
    <w:tmpl w:val="39F0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35272D"/>
    <w:multiLevelType w:val="hybridMultilevel"/>
    <w:tmpl w:val="2E96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B64C7D"/>
    <w:multiLevelType w:val="hybridMultilevel"/>
    <w:tmpl w:val="4B043540"/>
    <w:lvl w:ilvl="0" w:tplc="2A66EC6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5"/>
  </w:num>
  <w:num w:numId="3">
    <w:abstractNumId w:val="7"/>
  </w:num>
  <w:num w:numId="4">
    <w:abstractNumId w:val="1"/>
  </w:num>
  <w:num w:numId="5">
    <w:abstractNumId w:val="9"/>
  </w:num>
  <w:num w:numId="6">
    <w:abstractNumId w:val="0"/>
  </w:num>
  <w:num w:numId="7">
    <w:abstractNumId w:val="3"/>
  </w:num>
  <w:num w:numId="8">
    <w:abstractNumId w:val="14"/>
  </w:num>
  <w:num w:numId="9">
    <w:abstractNumId w:val="6"/>
  </w:num>
  <w:num w:numId="10">
    <w:abstractNumId w:val="2"/>
  </w:num>
  <w:num w:numId="11">
    <w:abstractNumId w:val="4"/>
  </w:num>
  <w:num w:numId="12">
    <w:abstractNumId w:val="16"/>
  </w:num>
  <w:num w:numId="13">
    <w:abstractNumId w:val="8"/>
  </w:num>
  <w:num w:numId="14">
    <w:abstractNumId w:val="13"/>
  </w:num>
  <w:num w:numId="15">
    <w:abstractNumId w:val="10"/>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0A"/>
    <w:rsid w:val="002A7B2D"/>
    <w:rsid w:val="00467AC6"/>
    <w:rsid w:val="00594FA5"/>
    <w:rsid w:val="00912EC5"/>
    <w:rsid w:val="00C9060A"/>
    <w:rsid w:val="00CE5114"/>
    <w:rsid w:val="00D962D2"/>
    <w:rsid w:val="00DB5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DF5FE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C9060A"/>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060A"/>
    <w:rPr>
      <w:rFonts w:ascii="Times New Roman" w:hAnsi="Times New Roman" w:cs="Times New Roman"/>
      <w:b/>
      <w:bCs/>
      <w:sz w:val="27"/>
      <w:szCs w:val="27"/>
    </w:rPr>
  </w:style>
  <w:style w:type="character" w:styleId="Strong">
    <w:name w:val="Strong"/>
    <w:basedOn w:val="DefaultParagraphFont"/>
    <w:uiPriority w:val="22"/>
    <w:qFormat/>
    <w:rsid w:val="00C9060A"/>
    <w:rPr>
      <w:b/>
      <w:bCs/>
    </w:rPr>
  </w:style>
  <w:style w:type="paragraph" w:styleId="NormalWeb">
    <w:name w:val="Normal (Web)"/>
    <w:basedOn w:val="Normal"/>
    <w:uiPriority w:val="99"/>
    <w:semiHidden/>
    <w:unhideWhenUsed/>
    <w:rsid w:val="00C9060A"/>
    <w:pPr>
      <w:spacing w:before="100" w:beforeAutospacing="1" w:after="100" w:afterAutospacing="1"/>
    </w:pPr>
    <w:rPr>
      <w:rFonts w:ascii="Times New Roman" w:hAnsi="Times New Roman" w:cs="Times New Roman"/>
    </w:rPr>
  </w:style>
  <w:style w:type="character" w:customStyle="1" w:styleId="pagecontents">
    <w:name w:val="pagecontents"/>
    <w:basedOn w:val="DefaultParagraphFont"/>
    <w:rsid w:val="00C9060A"/>
  </w:style>
  <w:style w:type="character" w:customStyle="1" w:styleId="required">
    <w:name w:val="required"/>
    <w:basedOn w:val="DefaultParagraphFont"/>
    <w:rsid w:val="00C9060A"/>
  </w:style>
  <w:style w:type="character" w:styleId="Hyperlink">
    <w:name w:val="Hyperlink"/>
    <w:basedOn w:val="DefaultParagraphFont"/>
    <w:uiPriority w:val="99"/>
    <w:semiHidden/>
    <w:unhideWhenUsed/>
    <w:rsid w:val="00C9060A"/>
    <w:rPr>
      <w:color w:val="0000FF"/>
      <w:u w:val="single"/>
    </w:rPr>
  </w:style>
  <w:style w:type="paragraph" w:styleId="ListParagraph">
    <w:name w:val="List Paragraph"/>
    <w:basedOn w:val="Normal"/>
    <w:uiPriority w:val="34"/>
    <w:qFormat/>
    <w:rsid w:val="00C90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650796">
      <w:bodyDiv w:val="1"/>
      <w:marLeft w:val="0"/>
      <w:marRight w:val="0"/>
      <w:marTop w:val="0"/>
      <w:marBottom w:val="0"/>
      <w:divBdr>
        <w:top w:val="none" w:sz="0" w:space="0" w:color="auto"/>
        <w:left w:val="none" w:sz="0" w:space="0" w:color="auto"/>
        <w:bottom w:val="none" w:sz="0" w:space="0" w:color="auto"/>
        <w:right w:val="none" w:sz="0" w:space="0" w:color="auto"/>
      </w:divBdr>
      <w:divsChild>
        <w:div w:id="1705399297">
          <w:marLeft w:val="0"/>
          <w:marRight w:val="0"/>
          <w:marTop w:val="0"/>
          <w:marBottom w:val="0"/>
          <w:divBdr>
            <w:top w:val="none" w:sz="0" w:space="0" w:color="auto"/>
            <w:left w:val="none" w:sz="0" w:space="0" w:color="auto"/>
            <w:bottom w:val="none" w:sz="0" w:space="0" w:color="auto"/>
            <w:right w:val="none" w:sz="0" w:space="0" w:color="auto"/>
          </w:divBdr>
          <w:divsChild>
            <w:div w:id="2045060755">
              <w:marLeft w:val="0"/>
              <w:marRight w:val="0"/>
              <w:marTop w:val="0"/>
              <w:marBottom w:val="0"/>
              <w:divBdr>
                <w:top w:val="none" w:sz="0" w:space="0" w:color="auto"/>
                <w:left w:val="none" w:sz="0" w:space="0" w:color="auto"/>
                <w:bottom w:val="none" w:sz="0" w:space="0" w:color="auto"/>
                <w:right w:val="none" w:sz="0" w:space="0" w:color="auto"/>
              </w:divBdr>
            </w:div>
          </w:divsChild>
        </w:div>
        <w:div w:id="1952741493">
          <w:marLeft w:val="0"/>
          <w:marRight w:val="0"/>
          <w:marTop w:val="0"/>
          <w:marBottom w:val="0"/>
          <w:divBdr>
            <w:top w:val="none" w:sz="0" w:space="0" w:color="auto"/>
            <w:left w:val="none" w:sz="0" w:space="0" w:color="auto"/>
            <w:bottom w:val="none" w:sz="0" w:space="0" w:color="auto"/>
            <w:right w:val="none" w:sz="0" w:space="0" w:color="auto"/>
          </w:divBdr>
        </w:div>
        <w:div w:id="531384522">
          <w:marLeft w:val="0"/>
          <w:marRight w:val="0"/>
          <w:marTop w:val="0"/>
          <w:marBottom w:val="0"/>
          <w:divBdr>
            <w:top w:val="none" w:sz="0" w:space="0" w:color="auto"/>
            <w:left w:val="none" w:sz="0" w:space="0" w:color="auto"/>
            <w:bottom w:val="none" w:sz="0" w:space="0" w:color="auto"/>
            <w:right w:val="none" w:sz="0" w:space="0" w:color="auto"/>
          </w:divBdr>
          <w:divsChild>
            <w:div w:id="1573808133">
              <w:marLeft w:val="0"/>
              <w:marRight w:val="0"/>
              <w:marTop w:val="0"/>
              <w:marBottom w:val="0"/>
              <w:divBdr>
                <w:top w:val="none" w:sz="0" w:space="0" w:color="auto"/>
                <w:left w:val="none" w:sz="0" w:space="0" w:color="auto"/>
                <w:bottom w:val="none" w:sz="0" w:space="0" w:color="auto"/>
                <w:right w:val="none" w:sz="0" w:space="0" w:color="auto"/>
              </w:divBdr>
            </w:div>
          </w:divsChild>
        </w:div>
        <w:div w:id="1035622157">
          <w:marLeft w:val="0"/>
          <w:marRight w:val="0"/>
          <w:marTop w:val="0"/>
          <w:marBottom w:val="0"/>
          <w:divBdr>
            <w:top w:val="none" w:sz="0" w:space="0" w:color="auto"/>
            <w:left w:val="none" w:sz="0" w:space="0" w:color="auto"/>
            <w:bottom w:val="none" w:sz="0" w:space="0" w:color="auto"/>
            <w:right w:val="none" w:sz="0" w:space="0" w:color="auto"/>
          </w:divBdr>
        </w:div>
        <w:div w:id="1841115135">
          <w:marLeft w:val="0"/>
          <w:marRight w:val="0"/>
          <w:marTop w:val="0"/>
          <w:marBottom w:val="0"/>
          <w:divBdr>
            <w:top w:val="none" w:sz="0" w:space="0" w:color="auto"/>
            <w:left w:val="none" w:sz="0" w:space="0" w:color="auto"/>
            <w:bottom w:val="none" w:sz="0" w:space="0" w:color="auto"/>
            <w:right w:val="none" w:sz="0" w:space="0" w:color="auto"/>
          </w:divBdr>
          <w:divsChild>
            <w:div w:id="548078188">
              <w:marLeft w:val="0"/>
              <w:marRight w:val="0"/>
              <w:marTop w:val="0"/>
              <w:marBottom w:val="0"/>
              <w:divBdr>
                <w:top w:val="none" w:sz="0" w:space="0" w:color="auto"/>
                <w:left w:val="none" w:sz="0" w:space="0" w:color="auto"/>
                <w:bottom w:val="none" w:sz="0" w:space="0" w:color="auto"/>
                <w:right w:val="none" w:sz="0" w:space="0" w:color="auto"/>
              </w:divBdr>
            </w:div>
          </w:divsChild>
        </w:div>
        <w:div w:id="92897337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817</Words>
  <Characters>4663</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2019-02-07T19:14:00Z</dcterms:created>
  <dcterms:modified xsi:type="dcterms:W3CDTF">2019-02-07T19:45:00Z</dcterms:modified>
</cp:coreProperties>
</file>